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深圳市食品安全专家委员会运维服务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SZZZ2022-QC0202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六</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color w:val="auto"/>
          <w:kern w:val="2"/>
          <w:sz w:val="21"/>
          <w:szCs w:val="24"/>
          <w:lang w:val="en-US"/>
        </w:rPr>
      </w:sdtEndPr>
      <w:sdtContent>
        <w:p>
          <w:pPr>
            <w:pStyle w:val="505"/>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5"/>
            <w:tabs>
              <w:tab w:val="right" w:leader="dot" w:pos="9638"/>
            </w:tabs>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rPr>
              <w:rFonts w:hint="eastAsia" w:ascii="仿宋_GB2312" w:eastAsia="仿宋_GB2312"/>
            </w:rPr>
            <w:fldChar w:fldCharType="begin"/>
          </w:r>
          <w:r>
            <w:rPr>
              <w:rFonts w:hint="eastAsia" w:ascii="仿宋_GB2312" w:eastAsia="仿宋_GB2312"/>
            </w:rPr>
            <w:instrText xml:space="preserve"> HYPERLINK \l _Toc16950 </w:instrText>
          </w:r>
          <w:r>
            <w:rPr>
              <w:rFonts w:hint="eastAsia" w:ascii="仿宋_GB2312" w:eastAsia="仿宋_GB2312"/>
            </w:rPr>
            <w:fldChar w:fldCharType="separate"/>
          </w:r>
          <w:r>
            <w:rPr>
              <w:rFonts w:hint="eastAsia"/>
            </w:rPr>
            <w:t>第一章  投标邀请</w:t>
          </w:r>
          <w:r>
            <w:tab/>
          </w:r>
          <w:r>
            <w:fldChar w:fldCharType="begin"/>
          </w:r>
          <w:r>
            <w:instrText xml:space="preserve"> PAGEREF _Toc16950 \h </w:instrText>
          </w:r>
          <w:r>
            <w:fldChar w:fldCharType="separate"/>
          </w:r>
          <w:r>
            <w:t>5</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_Toc1974 </w:instrText>
          </w:r>
          <w:r>
            <w:rPr>
              <w:rFonts w:hint="eastAsia" w:ascii="仿宋_GB2312" w:eastAsia="仿宋_GB2312"/>
            </w:rPr>
            <w:fldChar w:fldCharType="separate"/>
          </w:r>
          <w:r>
            <w:rPr>
              <w:rFonts w:hint="eastAsia"/>
            </w:rPr>
            <w:t>第二章  项目需求</w:t>
          </w:r>
          <w:r>
            <w:tab/>
          </w:r>
          <w:r>
            <w:fldChar w:fldCharType="begin"/>
          </w:r>
          <w:r>
            <w:instrText xml:space="preserve"> PAGEREF _Toc1974 \h </w:instrText>
          </w:r>
          <w:r>
            <w:fldChar w:fldCharType="separate"/>
          </w:r>
          <w:r>
            <w:t>8</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_Toc23182 </w:instrText>
          </w:r>
          <w:r>
            <w:rPr>
              <w:rFonts w:hint="eastAsia" w:ascii="仿宋_GB2312" w:eastAsia="仿宋_GB2312"/>
            </w:rPr>
            <w:fldChar w:fldCharType="separate"/>
          </w:r>
          <w:r>
            <w:rPr>
              <w:rFonts w:hint="eastAsia"/>
            </w:rPr>
            <w:t>第三章  投标文件初审</w:t>
          </w:r>
          <w:r>
            <w:tab/>
          </w:r>
          <w:r>
            <w:fldChar w:fldCharType="begin"/>
          </w:r>
          <w:r>
            <w:instrText xml:space="preserve"> PAGEREF _Toc23182 \h </w:instrText>
          </w:r>
          <w:r>
            <w:fldChar w:fldCharType="separate"/>
          </w:r>
          <w:r>
            <w:t>11</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_Toc11123 </w:instrText>
          </w:r>
          <w:r>
            <w:rPr>
              <w:rFonts w:hint="eastAsia" w:ascii="仿宋_GB2312" w:eastAsia="仿宋_GB2312"/>
            </w:rPr>
            <w:fldChar w:fldCharType="separate"/>
          </w:r>
          <w:r>
            <w:rPr>
              <w:rFonts w:hint="eastAsia"/>
            </w:rPr>
            <w:t>第四章  评标方法和标准</w:t>
          </w:r>
          <w:r>
            <w:tab/>
          </w:r>
          <w:r>
            <w:fldChar w:fldCharType="begin"/>
          </w:r>
          <w:r>
            <w:instrText xml:space="preserve"> PAGEREF _Toc11123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_Toc555 </w:instrText>
          </w:r>
          <w:r>
            <w:rPr>
              <w:rFonts w:hint="eastAsia" w:ascii="仿宋_GB2312" w:eastAsia="仿宋_GB2312"/>
            </w:rPr>
            <w:fldChar w:fldCharType="separate"/>
          </w:r>
          <w:r>
            <w:rPr>
              <w:rFonts w:hint="eastAsia"/>
            </w:rPr>
            <w:t>一、</w:t>
          </w:r>
          <w:r>
            <w:t>评标方法</w:t>
          </w:r>
          <w:r>
            <w:tab/>
          </w:r>
          <w:r>
            <w:fldChar w:fldCharType="begin"/>
          </w:r>
          <w:r>
            <w:instrText xml:space="preserve"> PAGEREF _Toc555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_Toc28861 </w:instrText>
          </w:r>
          <w:r>
            <w:rPr>
              <w:rFonts w:hint="eastAsia" w:ascii="仿宋_GB2312" w:eastAsia="仿宋_GB2312"/>
            </w:rPr>
            <w:fldChar w:fldCharType="separate"/>
          </w:r>
          <w:r>
            <w:rPr>
              <w:rFonts w:hint="eastAsia"/>
            </w:rPr>
            <w:t>二、评标标准</w:t>
          </w:r>
          <w:r>
            <w:tab/>
          </w:r>
          <w:r>
            <w:fldChar w:fldCharType="begin"/>
          </w:r>
          <w:r>
            <w:instrText xml:space="preserve"> PAGEREF _Toc28861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_Toc8199 </w:instrText>
          </w:r>
          <w:r>
            <w:rPr>
              <w:rFonts w:hint="eastAsia" w:ascii="仿宋_GB2312" w:eastAsia="仿宋_GB2312"/>
            </w:rPr>
            <w:fldChar w:fldCharType="separate"/>
          </w:r>
          <w:r>
            <w:rPr>
              <w:rFonts w:hint="eastAsia" w:asciiTheme="minorEastAsia" w:hAnsiTheme="minorEastAsia"/>
              <w:bCs w:val="0"/>
              <w:szCs w:val="21"/>
            </w:rPr>
            <w:t>备注：</w:t>
          </w:r>
          <w:r>
            <w:tab/>
          </w:r>
          <w:r>
            <w:fldChar w:fldCharType="begin"/>
          </w:r>
          <w:r>
            <w:instrText xml:space="preserve"> PAGEREF _Toc8199 \h </w:instrText>
          </w:r>
          <w:r>
            <w:fldChar w:fldCharType="separate"/>
          </w:r>
          <w:r>
            <w:t>17</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_Toc26524 </w:instrText>
          </w:r>
          <w:r>
            <w:rPr>
              <w:rFonts w:hint="eastAsia" w:ascii="仿宋_GB2312" w:eastAsia="仿宋_GB2312"/>
            </w:rPr>
            <w:fldChar w:fldCharType="separate"/>
          </w:r>
          <w:r>
            <w:rPr>
              <w:rFonts w:hint="eastAsia"/>
            </w:rPr>
            <w:t>1、资质证书有效期</w:t>
          </w:r>
          <w:r>
            <w:tab/>
          </w:r>
          <w:r>
            <w:fldChar w:fldCharType="begin"/>
          </w:r>
          <w:r>
            <w:instrText xml:space="preserve"> PAGEREF _Toc26524 \h </w:instrText>
          </w:r>
          <w:r>
            <w:fldChar w:fldCharType="separate"/>
          </w:r>
          <w:r>
            <w:t>17</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_Toc32050 </w:instrText>
          </w:r>
          <w:r>
            <w:rPr>
              <w:rFonts w:hint="eastAsia" w:ascii="仿宋_GB2312" w:eastAsia="仿宋_GB2312"/>
            </w:rPr>
            <w:fldChar w:fldCharType="separate"/>
          </w:r>
          <w:r>
            <w:rPr>
              <w:rFonts w:hint="eastAsia" w:asciiTheme="minorEastAsia" w:hAnsiTheme="minorEastAsia" w:eastAsiaTheme="minorEastAsia"/>
            </w:rPr>
            <w:t>2、政府采购扶持政策</w:t>
          </w:r>
          <w:r>
            <w:tab/>
          </w:r>
          <w:r>
            <w:fldChar w:fldCharType="begin"/>
          </w:r>
          <w:r>
            <w:instrText xml:space="preserve"> PAGEREF _Toc32050 \h </w:instrText>
          </w:r>
          <w:r>
            <w:fldChar w:fldCharType="separate"/>
          </w:r>
          <w:r>
            <w:t>18</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_Toc29023 </w:instrText>
          </w:r>
          <w:r>
            <w:rPr>
              <w:rFonts w:hint="eastAsia" w:ascii="仿宋_GB2312" w:eastAsia="仿宋_GB2312"/>
            </w:rPr>
            <w:fldChar w:fldCharType="separate"/>
          </w:r>
          <w:r>
            <w:rPr>
              <w:rFonts w:hint="eastAsia"/>
            </w:rPr>
            <w:t>第五章  投标人须知前附表</w:t>
          </w:r>
          <w:r>
            <w:tab/>
          </w:r>
          <w:r>
            <w:fldChar w:fldCharType="begin"/>
          </w:r>
          <w:r>
            <w:instrText xml:space="preserve"> PAGEREF _Toc29023 \h </w:instrText>
          </w:r>
          <w:r>
            <w:fldChar w:fldCharType="separate"/>
          </w:r>
          <w:r>
            <w:t>19</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_Toc18492 </w:instrText>
          </w:r>
          <w:r>
            <w:rPr>
              <w:rFonts w:hint="eastAsia" w:ascii="仿宋_GB2312" w:eastAsia="仿宋_GB2312"/>
            </w:rPr>
            <w:fldChar w:fldCharType="separate"/>
          </w:r>
          <w:r>
            <w:rPr>
              <w:rFonts w:hint="eastAsia"/>
            </w:rPr>
            <w:t>第六章  投标人须知</w:t>
          </w:r>
          <w:r>
            <w:tab/>
          </w:r>
          <w:r>
            <w:fldChar w:fldCharType="begin"/>
          </w:r>
          <w:r>
            <w:instrText xml:space="preserve"> PAGEREF _Toc18492 \h </w:instrText>
          </w:r>
          <w:r>
            <w:fldChar w:fldCharType="separate"/>
          </w:r>
          <w:r>
            <w:t>20</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_Toc29418 </w:instrText>
          </w:r>
          <w:r>
            <w:rPr>
              <w:rFonts w:hint="eastAsia" w:ascii="仿宋_GB2312" w:eastAsia="仿宋_GB2312"/>
            </w:rPr>
            <w:fldChar w:fldCharType="separate"/>
          </w:r>
          <w:r>
            <w:rPr>
              <w:rFonts w:hint="eastAsia"/>
            </w:rPr>
            <w:t>一、说</w:t>
          </w:r>
          <w:r>
            <w:t xml:space="preserve">  </w:t>
          </w:r>
          <w:r>
            <w:rPr>
              <w:rFonts w:hint="eastAsia"/>
            </w:rPr>
            <w:t>明</w:t>
          </w:r>
          <w:r>
            <w:tab/>
          </w:r>
          <w:r>
            <w:fldChar w:fldCharType="begin"/>
          </w:r>
          <w:r>
            <w:instrText xml:space="preserve"> PAGEREF _Toc29418 \h </w:instrText>
          </w:r>
          <w:r>
            <w:fldChar w:fldCharType="separate"/>
          </w:r>
          <w:r>
            <w:t>20</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_Toc18623 </w:instrText>
          </w:r>
          <w:r>
            <w:rPr>
              <w:rFonts w:hint="eastAsia" w:ascii="仿宋_GB2312" w:eastAsia="仿宋_GB2312"/>
            </w:rPr>
            <w:fldChar w:fldCharType="separate"/>
          </w:r>
          <w:r>
            <w:rPr>
              <w:rFonts w:hint="eastAsia"/>
            </w:rPr>
            <w:t>二、招标文件说明</w:t>
          </w:r>
          <w:r>
            <w:tab/>
          </w:r>
          <w:r>
            <w:fldChar w:fldCharType="begin"/>
          </w:r>
          <w:r>
            <w:instrText xml:space="preserve"> PAGEREF _Toc18623 \h </w:instrText>
          </w:r>
          <w:r>
            <w:fldChar w:fldCharType="separate"/>
          </w:r>
          <w:r>
            <w:t>22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_Toc23184 </w:instrText>
          </w:r>
          <w:r>
            <w:rPr>
              <w:rFonts w:hint="eastAsia" w:ascii="仿宋_GB2312" w:eastAsia="仿宋_GB2312"/>
            </w:rPr>
            <w:fldChar w:fldCharType="separate"/>
          </w:r>
          <w:r>
            <w:rPr>
              <w:rFonts w:hint="eastAsia"/>
            </w:rPr>
            <w:t>三、投标文件的编写</w:t>
          </w:r>
          <w:r>
            <w:tab/>
          </w:r>
          <w:r>
            <w:fldChar w:fldCharType="begin"/>
          </w:r>
          <w:r>
            <w:instrText xml:space="preserve"> PAGEREF _Toc23184 \h </w:instrText>
          </w:r>
          <w:r>
            <w:fldChar w:fldCharType="separate"/>
          </w:r>
          <w:r>
            <w:t>23</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_Toc27745 </w:instrText>
          </w:r>
          <w:r>
            <w:rPr>
              <w:rFonts w:hint="eastAsia" w:ascii="仿宋_GB2312" w:eastAsia="仿宋_GB2312"/>
            </w:rPr>
            <w:fldChar w:fldCharType="separate"/>
          </w:r>
          <w:r>
            <w:rPr>
              <w:rFonts w:hint="eastAsia"/>
            </w:rPr>
            <w:t>四、投标文件的递交</w:t>
          </w:r>
          <w:r>
            <w:tab/>
          </w:r>
          <w:r>
            <w:fldChar w:fldCharType="begin"/>
          </w:r>
          <w:r>
            <w:instrText xml:space="preserve"> PAGEREF _Toc27745 \h </w:instrText>
          </w:r>
          <w:r>
            <w:fldChar w:fldCharType="separate"/>
          </w:r>
          <w:r>
            <w:t>25</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_Toc7568 </w:instrText>
          </w:r>
          <w:r>
            <w:rPr>
              <w:rFonts w:hint="eastAsia" w:ascii="仿宋_GB2312" w:eastAsia="仿宋_GB2312"/>
            </w:rPr>
            <w:fldChar w:fldCharType="separate"/>
          </w:r>
          <w:r>
            <w:rPr>
              <w:rFonts w:hint="eastAsia"/>
            </w:rPr>
            <w:t>五、开标和评标</w:t>
          </w:r>
          <w:bookmarkStart w:id="96" w:name="_GoBack"/>
          <w:bookmarkEnd w:id="96"/>
          <w:r>
            <w:tab/>
          </w:r>
          <w:r>
            <w:fldChar w:fldCharType="begin"/>
          </w:r>
          <w:r>
            <w:instrText xml:space="preserve"> PAGEREF _Toc7568 \h </w:instrText>
          </w:r>
          <w:r>
            <w:fldChar w:fldCharType="separate"/>
          </w:r>
          <w:r>
            <w:t>27</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_Toc24780 </w:instrText>
          </w:r>
          <w:r>
            <w:rPr>
              <w:rFonts w:hint="eastAsia" w:ascii="仿宋_GB2312" w:eastAsia="仿宋_GB2312"/>
            </w:rPr>
            <w:fldChar w:fldCharType="separate"/>
          </w:r>
          <w:r>
            <w:rPr>
              <w:rFonts w:hint="eastAsia"/>
            </w:rPr>
            <w:t>六、授予合同</w:t>
          </w:r>
          <w:r>
            <w:tab/>
          </w:r>
          <w:r>
            <w:fldChar w:fldCharType="begin"/>
          </w:r>
          <w:r>
            <w:instrText xml:space="preserve"> PAGEREF _Toc24780 \h </w:instrText>
          </w:r>
          <w:r>
            <w:fldChar w:fldCharType="separate"/>
          </w:r>
          <w:r>
            <w:t>29</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_Toc12977 </w:instrText>
          </w:r>
          <w:r>
            <w:rPr>
              <w:rFonts w:hint="eastAsia" w:ascii="仿宋_GB2312" w:eastAsia="仿宋_GB2312"/>
            </w:rPr>
            <w:fldChar w:fldCharType="separate"/>
          </w:r>
          <w:r>
            <w:rPr>
              <w:rFonts w:hint="eastAsia"/>
            </w:rPr>
            <w:t>七、质疑处理</w:t>
          </w:r>
          <w:r>
            <w:tab/>
          </w:r>
          <w:r>
            <w:fldChar w:fldCharType="begin"/>
          </w:r>
          <w:r>
            <w:instrText xml:space="preserve"> PAGEREF _Toc12977 \h </w:instrText>
          </w:r>
          <w:r>
            <w:fldChar w:fldCharType="separate"/>
          </w:r>
          <w:r>
            <w:t>30</w:t>
          </w:r>
          <w:r>
            <w:fldChar w:fldCharType="end"/>
          </w:r>
          <w:r>
            <w:rPr>
              <w:rFonts w:hint="eastAsia" w:ascii="仿宋_GB2312" w:eastAsia="仿宋_GB2312"/>
            </w:rPr>
            <w:fldChar w:fldCharType="end"/>
          </w:r>
        </w:p>
        <w:p>
          <w:pPr>
            <w:pStyle w:val="3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_Toc19045 </w:instrText>
          </w:r>
          <w:r>
            <w:rPr>
              <w:rFonts w:hint="eastAsia" w:ascii="宋体" w:hAnsi="宋体" w:eastAsia="宋体" w:cs="宋体"/>
            </w:rPr>
            <w:fldChar w:fldCharType="separate"/>
          </w:r>
          <w:r>
            <w:rPr>
              <w:rFonts w:hint="eastAsia" w:ascii="宋体" w:hAnsi="宋体" w:eastAsia="宋体" w:cs="宋体"/>
            </w:rPr>
            <w:t>第七章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_Toc19045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42"/>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_Toc31381 </w:instrText>
          </w:r>
          <w:r>
            <w:rPr>
              <w:rFonts w:hint="eastAsia" w:ascii="宋体" w:hAnsi="宋体" w:eastAsia="宋体" w:cs="宋体"/>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_Toc31381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42"/>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_Toc26063 </w:instrText>
          </w:r>
          <w:r>
            <w:rPr>
              <w:rFonts w:hint="eastAsia" w:ascii="宋体" w:hAnsi="宋体" w:eastAsia="宋体" w:cs="宋体"/>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_Toc26063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42"/>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_Toc19379 </w:instrText>
          </w:r>
          <w:r>
            <w:rPr>
              <w:rFonts w:hint="eastAsia" w:ascii="宋体" w:hAnsi="宋体" w:eastAsia="宋体" w:cs="宋体"/>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_Toc19379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638"/>
            </w:tabs>
          </w:pPr>
          <w:r>
            <w:rPr>
              <w:rFonts w:hint="eastAsia" w:ascii="宋体" w:hAnsi="宋体" w:eastAsia="宋体" w:cs="宋体"/>
            </w:rPr>
            <w:fldChar w:fldCharType="begin"/>
          </w:r>
          <w:r>
            <w:rPr>
              <w:rFonts w:hint="eastAsia" w:ascii="宋体" w:hAnsi="宋体" w:eastAsia="宋体" w:cs="宋体"/>
            </w:rPr>
            <w:instrText xml:space="preserve"> HYPERLINK \l _Toc4735 </w:instrText>
          </w:r>
          <w:r>
            <w:rPr>
              <w:rFonts w:hint="eastAsia" w:ascii="宋体" w:hAnsi="宋体" w:eastAsia="宋体" w:cs="宋体"/>
            </w:rPr>
            <w:fldChar w:fldCharType="separate"/>
          </w:r>
          <w:r>
            <w:rPr>
              <w:rFonts w:hint="eastAsia" w:ascii="宋体" w:hAnsi="宋体" w:eastAsia="宋体" w:cs="宋体"/>
              <w:kern w:val="0"/>
              <w:szCs w:val="28"/>
            </w:rPr>
            <w:t>股东构成审查表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_Toc4735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_Toc18207 </w:instrText>
          </w:r>
          <w:r>
            <w:rPr>
              <w:rFonts w:hint="eastAsia" w:ascii="仿宋_GB2312" w:eastAsia="仿宋_GB2312"/>
            </w:rPr>
            <w:fldChar w:fldCharType="separate"/>
          </w:r>
          <w:r>
            <w:rPr>
              <w:rFonts w:hint="eastAsia"/>
            </w:rPr>
            <w:t>第八章  合同条款</w:t>
          </w:r>
          <w:r>
            <w:tab/>
          </w:r>
          <w:r>
            <w:fldChar w:fldCharType="begin"/>
          </w:r>
          <w:r>
            <w:instrText xml:space="preserve"> PAGEREF _Toc18207 \h </w:instrText>
          </w:r>
          <w:r>
            <w:fldChar w:fldCharType="separate"/>
          </w:r>
          <w:r>
            <w:t>55</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_Toc30441 </w:instrText>
          </w:r>
          <w:r>
            <w:rPr>
              <w:rFonts w:hint="eastAsia" w:ascii="仿宋_GB2312" w:eastAsia="仿宋_GB2312"/>
            </w:rPr>
            <w:fldChar w:fldCharType="separate"/>
          </w:r>
          <w:r>
            <w:rPr>
              <w:rFonts w:hint="eastAsia"/>
            </w:rPr>
            <w:t>第九章  附件</w:t>
          </w:r>
          <w:r>
            <w:tab/>
          </w:r>
          <w:r>
            <w:fldChar w:fldCharType="begin"/>
          </w:r>
          <w:r>
            <w:instrText xml:space="preserve"> PAGEREF _Toc30441 \h </w:instrText>
          </w:r>
          <w:r>
            <w:fldChar w:fldCharType="separate"/>
          </w:r>
          <w:r>
            <w:t>58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_Toc1152 </w:instrText>
          </w:r>
          <w:r>
            <w:rPr>
              <w:rFonts w:hint="eastAsia" w:ascii="仿宋_GB2312" w:eastAsia="仿宋_GB2312"/>
            </w:rPr>
            <w:fldChar w:fldCharType="separate"/>
          </w:r>
          <w:r>
            <w:rPr>
              <w:rFonts w:hint="eastAsia"/>
            </w:rPr>
            <w:t>一、财政部 工业和信息化部关于印发《政府采购促进中小企业发展管理办法》的通知</w:t>
          </w:r>
          <w:r>
            <w:tab/>
          </w:r>
          <w:r>
            <w:fldChar w:fldCharType="begin"/>
          </w:r>
          <w:r>
            <w:instrText xml:space="preserve"> PAGEREF _Toc1152 \h </w:instrText>
          </w:r>
          <w:r>
            <w:fldChar w:fldCharType="separate"/>
          </w:r>
          <w:r>
            <w:t>58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_Toc13066 </w:instrText>
          </w:r>
          <w:r>
            <w:rPr>
              <w:rFonts w:hint="eastAsia" w:ascii="仿宋_GB2312" w:eastAsia="仿宋_GB2312"/>
            </w:rPr>
            <w:fldChar w:fldCharType="separate"/>
          </w:r>
          <w:r>
            <w:rPr>
              <w:rFonts w:hint="eastAsia"/>
            </w:rPr>
            <w:t>二、关于印发中小企业划型标准规定的通知</w:t>
          </w:r>
          <w:r>
            <w:tab/>
          </w:r>
          <w:r>
            <w:fldChar w:fldCharType="begin"/>
          </w:r>
          <w:r>
            <w:instrText xml:space="preserve"> PAGEREF _Toc13066 \h </w:instrText>
          </w:r>
          <w:r>
            <w:fldChar w:fldCharType="separate"/>
          </w:r>
          <w:r>
            <w:t>62</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_Toc22256 </w:instrText>
          </w:r>
          <w:r>
            <w:rPr>
              <w:rFonts w:hint="eastAsia" w:ascii="仿宋_GB2312" w:eastAsia="仿宋_GB2312"/>
            </w:rPr>
            <w:fldChar w:fldCharType="separate"/>
          </w:r>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r>
            <w:tab/>
          </w:r>
          <w:r>
            <w:fldChar w:fldCharType="begin"/>
          </w:r>
          <w:r>
            <w:instrText xml:space="preserve"> PAGEREF _Toc22256 \h </w:instrText>
          </w:r>
          <w:r>
            <w:fldChar w:fldCharType="separate"/>
          </w:r>
          <w:r>
            <w:t>65</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_Toc31840 </w:instrText>
          </w:r>
          <w:r>
            <w:rPr>
              <w:rFonts w:hint="eastAsia" w:ascii="仿宋_GB2312" w:eastAsia="仿宋_GB2312"/>
            </w:rPr>
            <w:fldChar w:fldCharType="separate"/>
          </w:r>
          <w:r>
            <w:rPr>
              <w:rFonts w:hint="eastAsia"/>
            </w:rPr>
            <w:t>四、</w:t>
          </w:r>
          <w:r>
            <w:t>财政部 民政部 中国残疾人联合会关于促进残疾人就业 政府采购政策的通知</w:t>
          </w:r>
          <w:r>
            <w:tab/>
          </w:r>
          <w:r>
            <w:fldChar w:fldCharType="begin"/>
          </w:r>
          <w:r>
            <w:instrText xml:space="preserve"> PAGEREF _Toc31840 \h </w:instrText>
          </w:r>
          <w:r>
            <w:fldChar w:fldCharType="separate"/>
          </w:r>
          <w:r>
            <w:t>68</w:t>
          </w:r>
          <w:r>
            <w:fldChar w:fldCharType="end"/>
          </w:r>
          <w:r>
            <w:rPr>
              <w:rFonts w:hint="eastAsia" w:ascii="仿宋_GB2312" w:eastAsia="仿宋_GB2312"/>
            </w:rPr>
            <w:fldChar w:fldCharType="end"/>
          </w:r>
        </w:p>
        <w:p>
          <w:pPr>
            <w:pStyle w:val="26"/>
            <w:tabs>
              <w:tab w:val="right" w:leader="dot" w:pos="9628"/>
            </w:tabs>
            <w:spacing w:line="360" w:lineRule="exact"/>
          </w:pPr>
          <w:r>
            <w:rPr>
              <w:rFonts w:hint="eastAsia" w:ascii="仿宋_GB2312" w:eastAsia="仿宋_GB2312"/>
            </w:rPr>
            <w:fldChar w:fldCharType="end"/>
          </w:r>
        </w:p>
      </w:sdtContent>
    </w:sdt>
    <w:p>
      <w:pPr>
        <w:widowControl/>
        <w:jc w:val="left"/>
      </w:pPr>
      <w:r>
        <w:br w:type="page"/>
      </w:r>
    </w:p>
    <w:p/>
    <w:p>
      <w:pPr>
        <w:pStyle w:val="3"/>
      </w:pPr>
      <w:bookmarkStart w:id="0" w:name="_Toc1695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深圳市食品安全专家委员会运维服务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28</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SZZZ2022-QC0202</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深圳市食品安全专家委员会运维服务</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23.8</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23.8</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682"/>
        <w:gridCol w:w="3056"/>
        <w:gridCol w:w="682"/>
        <w:gridCol w:w="682"/>
        <w:gridCol w:w="255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6"/>
              <w:spacing w:line="360" w:lineRule="auto"/>
              <w:jc w:val="center"/>
              <w:rPr>
                <w:sz w:val="21"/>
              </w:rPr>
            </w:pPr>
            <w:r>
              <w:rPr>
                <w:sz w:val="21"/>
              </w:rPr>
              <w:t>标的名称</w:t>
            </w:r>
          </w:p>
        </w:tc>
        <w:tc>
          <w:tcPr>
            <w:tcW w:w="682"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682"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6"/>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深圳市食品安全专家委员会运维服务</w:t>
            </w:r>
          </w:p>
        </w:tc>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2126" w:type="dxa"/>
            <w:shd w:val="clear" w:color="auto" w:fill="auto"/>
            <w:vAlign w:val="center"/>
          </w:tcPr>
          <w:p>
            <w:pPr>
              <w:widowControl/>
              <w:spacing w:line="360" w:lineRule="auto"/>
              <w:jc w:val="center"/>
              <w:rPr>
                <w:rFonts w:hint="default" w:asciiTheme="minorEastAsia" w:hAnsiTheme="minorEastAsia" w:eastAsiaTheme="minorEastAsia"/>
                <w:lang w:val="en-US" w:eastAsia="zh-CN"/>
              </w:rPr>
            </w:pPr>
            <w:r>
              <w:rPr>
                <w:rFonts w:hint="eastAsia" w:asciiTheme="minorEastAsia" w:hAnsiTheme="minorEastAsia" w:eastAsiaTheme="minorEastAsia"/>
              </w:rPr>
              <w:t>所属行业：</w:t>
            </w:r>
            <w:r>
              <w:rPr>
                <w:rFonts w:hint="eastAsia" w:asciiTheme="minorEastAsia" w:hAnsiTheme="minorEastAsia" w:eastAsiaTheme="minorEastAsia"/>
                <w:lang w:val="en-US" w:eastAsia="zh-CN"/>
              </w:rPr>
              <w:t>其他未列明行列</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宋体" w:hAnsi="宋体" w:eastAsia="宋体"/>
          <w:snapToGrid w:val="0"/>
          <w:color w:val="auto"/>
          <w:sz w:val="21"/>
          <w:szCs w:val="21"/>
          <w:lang w:val="en-US" w:eastAsia="zh-CN"/>
        </w:rPr>
        <w:t>自</w:t>
      </w:r>
      <w:r>
        <w:rPr>
          <w:rFonts w:hint="eastAsia" w:ascii="宋体" w:hAnsi="宋体" w:eastAsia="宋体"/>
          <w:snapToGrid w:val="0"/>
          <w:color w:val="auto"/>
          <w:sz w:val="21"/>
          <w:szCs w:val="21"/>
          <w:lang w:eastAsia="zh-CN"/>
        </w:rPr>
        <w:t>合同签订之日起</w:t>
      </w:r>
      <w:r>
        <w:rPr>
          <w:rFonts w:hint="eastAsia" w:ascii="宋体" w:hAnsi="宋体" w:eastAsia="宋体"/>
          <w:snapToGrid w:val="0"/>
          <w:color w:val="auto"/>
          <w:sz w:val="21"/>
          <w:szCs w:val="21"/>
          <w:lang w:val="en-US" w:eastAsia="zh-CN"/>
        </w:rPr>
        <w:t>至2022年11月30日前完成</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lang w:val="en-US" w:eastAsia="zh-CN"/>
        </w:rPr>
        <w:t>本项目属于长期服务项目，采购人可根据中标供应商履约服务情况申请延长，但累计服务期限最长不超过三年，合同一年一签。</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w:t>
      </w:r>
      <w:r>
        <w:rPr>
          <w:rFonts w:ascii="宋体" w:hAnsi="宋体" w:eastAsia="宋体"/>
          <w:snapToGrid w:val="0"/>
          <w:color w:val="auto"/>
          <w:sz w:val="21"/>
          <w:szCs w:val="21"/>
        </w:rPr>
        <w:t>7010</w:t>
      </w:r>
      <w:r>
        <w:rPr>
          <w:rFonts w:hint="eastAsia" w:ascii="宋体" w:hAnsi="宋体" w:eastAsia="宋体"/>
          <w:snapToGrid w:val="0"/>
          <w:color w:val="auto"/>
          <w:sz w:val="21"/>
          <w:szCs w:val="21"/>
        </w:rPr>
        <w:t>号工商物价大厦</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联系人：王先生，0755-83070533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4"/>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06</w:t>
      </w:r>
      <w:r>
        <w:rPr>
          <w:rFonts w:ascii="宋体" w:hAnsi="宋体"/>
          <w:snapToGrid w:val="0"/>
          <w:kern w:val="0"/>
          <w:sz w:val="24"/>
        </w:rPr>
        <w:t>月</w:t>
      </w:r>
      <w:r>
        <w:rPr>
          <w:rFonts w:hint="eastAsia" w:ascii="宋体" w:hAnsi="宋体"/>
          <w:snapToGrid w:val="0"/>
          <w:kern w:val="0"/>
          <w:sz w:val="24"/>
          <w:lang w:val="en-US" w:eastAsia="zh-CN"/>
        </w:rPr>
        <w:t>17</w:t>
      </w:r>
      <w:r>
        <w:rPr>
          <w:rFonts w:hint="eastAsia" w:ascii="宋体" w:hAnsi="宋体"/>
          <w:snapToGrid w:val="0"/>
          <w:kern w:val="0"/>
          <w:sz w:val="24"/>
        </w:rPr>
        <w:t>日</w:t>
      </w:r>
    </w:p>
    <w:p/>
    <w:p>
      <w:pPr>
        <w:widowControl/>
        <w:jc w:val="left"/>
      </w:pPr>
      <w:r>
        <w:br w:type="page"/>
      </w:r>
    </w:p>
    <w:p/>
    <w:p>
      <w:pPr>
        <w:pStyle w:val="3"/>
      </w:pPr>
      <w:bookmarkStart w:id="1" w:name="_Toc1974"/>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深圳市食品安全专家委员会运维服务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238,000.00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6"/>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tl w:val="0"/>
          <w:lang w:val="en-US" w:eastAsia="zh-CN"/>
        </w:rPr>
        <w:t>按照</w:t>
      </w:r>
      <w:r>
        <w:rPr>
          <w:rFonts w:hint="eastAsia" w:cs="Times New Roman"/>
          <w:snapToGrid/>
          <w:spacing w:val="0"/>
          <w:sz w:val="21"/>
          <w:szCs w:val="21"/>
          <w:rtl w:val="0"/>
          <w:lang w:val="zh-TW" w:eastAsia="zh-TW"/>
        </w:rPr>
        <w:t>《食品安全法实施条例》《深圳经济特区食品安全监督条例》</w:t>
      </w:r>
      <w:r>
        <w:rPr>
          <w:rFonts w:hint="eastAsia" w:cs="Times New Roman"/>
          <w:snapToGrid/>
          <w:spacing w:val="0"/>
          <w:sz w:val="21"/>
          <w:szCs w:val="21"/>
          <w:rtl w:val="0"/>
          <w:lang w:val="en-US" w:eastAsia="zh-CN"/>
        </w:rPr>
        <w:t>等有关规定，通过设立食品安全专家委员会，分析食品安全形势，研究部署、统筹指导食品安全工作，提出食品安全监督管理的重大政策措施，督促落实食品安全监督管理责任。</w:t>
      </w:r>
      <w:r>
        <w:rPr>
          <w:rFonts w:hint="eastAsia" w:cs="Times New Roman"/>
          <w:snapToGrid/>
          <w:spacing w:val="0"/>
          <w:sz w:val="21"/>
          <w:szCs w:val="21"/>
          <w:rtl w:val="0"/>
          <w:lang w:val="zh-TW" w:eastAsia="zh-TW"/>
        </w:rPr>
        <w:t>为保障为充分发挥食品安全专家在食品安全监督管理工作中的作用、借助专家的知识和经验，帮助提高</w:t>
      </w:r>
      <w:r>
        <w:rPr>
          <w:rFonts w:hint="eastAsia" w:cs="Times New Roman"/>
          <w:snapToGrid/>
          <w:spacing w:val="0"/>
          <w:sz w:val="21"/>
          <w:szCs w:val="21"/>
          <w:rtl w:val="0"/>
          <w:lang w:val="en-US" w:eastAsia="zh-CN"/>
        </w:rPr>
        <w:t>深圳市</w:t>
      </w:r>
      <w:r>
        <w:rPr>
          <w:rFonts w:hint="eastAsia" w:cs="Times New Roman"/>
          <w:snapToGrid/>
          <w:spacing w:val="0"/>
          <w:sz w:val="21"/>
          <w:szCs w:val="21"/>
          <w:rtl w:val="0"/>
          <w:lang w:val="zh-TW" w:eastAsia="zh-TW"/>
        </w:rPr>
        <w:t>食品安全工作的决策水平，根据机构改革后的情况变化和食品安全实际工作需要，计划开展2022年深圳市食品安全专家委员会运维服务工作。</w:t>
      </w:r>
    </w:p>
    <w:p>
      <w:pPr>
        <w:pStyle w:val="507"/>
        <w:wordWrap/>
        <w:spacing w:afterLines="0" w:line="360" w:lineRule="auto"/>
        <w:ind w:firstLine="420"/>
        <w:rPr>
          <w:rFonts w:cs="Times New Roman"/>
          <w:snapToGrid/>
          <w:spacing w:val="0"/>
          <w:sz w:val="21"/>
          <w:szCs w:val="21"/>
        </w:rPr>
      </w:pPr>
    </w:p>
    <w:p>
      <w:pPr>
        <w:pStyle w:val="322"/>
        <w:ind w:firstLine="0" w:firstLineChars="0"/>
        <w:rPr>
          <w:b/>
        </w:rPr>
      </w:pPr>
      <w:r>
        <w:rPr>
          <w:rFonts w:hint="eastAsia"/>
          <w:b/>
        </w:rPr>
        <w:t>二、项目服务要求</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为充分发挥技术专家在食品安全监管工作中的作用，进一步提高政府食品安全决策水平及应急处置能力，确保食品安全监管工作的科学性和高效性，全面推进食品安全治理能力现代化。组织</w:t>
      </w:r>
      <w:r>
        <w:rPr>
          <w:rFonts w:hint="eastAsia" w:cs="Times New Roman"/>
          <w:snapToGrid/>
          <w:spacing w:val="0"/>
          <w:sz w:val="21"/>
          <w:szCs w:val="21"/>
          <w:lang w:eastAsia="zh-CN"/>
        </w:rPr>
        <w:t>修订《深圳市食品安全专家委员会管理办法》，遴选食品安全专家，</w:t>
      </w:r>
      <w:r>
        <w:rPr>
          <w:rFonts w:hint="eastAsia" w:cs="Times New Roman"/>
          <w:snapToGrid/>
          <w:spacing w:val="0"/>
          <w:sz w:val="21"/>
          <w:szCs w:val="21"/>
          <w:lang w:val="en-US" w:eastAsia="zh-CN"/>
        </w:rPr>
        <w:t>定期</w:t>
      </w:r>
      <w:r>
        <w:rPr>
          <w:rFonts w:hint="eastAsia" w:cs="Times New Roman"/>
          <w:snapToGrid/>
          <w:spacing w:val="0"/>
          <w:sz w:val="21"/>
          <w:szCs w:val="21"/>
          <w:lang w:eastAsia="zh-CN"/>
        </w:rPr>
        <w:t>组织召开食品安全相关工作评审论证会议、专家现场指导，组织食安简报材料编写、收集、制作。</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1.</w:t>
      </w:r>
      <w:r>
        <w:rPr>
          <w:rFonts w:hint="eastAsia" w:cs="Times New Roman"/>
          <w:snapToGrid/>
          <w:spacing w:val="0"/>
          <w:sz w:val="21"/>
          <w:szCs w:val="21"/>
          <w:lang w:eastAsia="zh-CN"/>
        </w:rPr>
        <w:t>修订《深圳市食品安全专家委员会管理办法》</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按照《中华人民共和国食品安全法》《中华人民共和国食品安全法实施条例》《广东省食品安全条例》《深圳经济特区食品安全监督条例》等有关规定，</w:t>
      </w:r>
      <w:r>
        <w:rPr>
          <w:rFonts w:hint="eastAsia" w:cs="Times New Roman"/>
          <w:snapToGrid/>
          <w:spacing w:val="0"/>
          <w:sz w:val="21"/>
          <w:szCs w:val="21"/>
          <w:lang w:eastAsia="zh-CN"/>
        </w:rPr>
        <w:t>修订并发布新版《深圳市食品安全专家委员会管理办法》。组织遴选食品安全专家</w:t>
      </w:r>
      <w:r>
        <w:rPr>
          <w:rFonts w:hint="eastAsia" w:cs="Times New Roman"/>
          <w:snapToGrid/>
          <w:spacing w:val="0"/>
          <w:sz w:val="21"/>
          <w:szCs w:val="21"/>
          <w:lang w:val="en-US" w:eastAsia="zh-CN"/>
        </w:rPr>
        <w:t>委员会委员</w:t>
      </w:r>
      <w:r>
        <w:rPr>
          <w:rFonts w:hint="eastAsia" w:cs="Times New Roman"/>
          <w:snapToGrid/>
          <w:spacing w:val="0"/>
          <w:sz w:val="21"/>
          <w:szCs w:val="21"/>
          <w:lang w:eastAsia="zh-CN"/>
        </w:rPr>
        <w:t>。</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2.</w:t>
      </w:r>
      <w:r>
        <w:rPr>
          <w:rFonts w:hint="eastAsia" w:cs="Times New Roman"/>
          <w:snapToGrid/>
          <w:spacing w:val="0"/>
          <w:sz w:val="21"/>
          <w:szCs w:val="21"/>
          <w:lang w:eastAsia="zh-CN"/>
        </w:rPr>
        <w:t>组织评审论证会议</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组织开展食品安全相关工作评审论证会议10场，采用线上和线下等会议形式组织开展相关工作。收集相关资料，形成专家意见，为食品安全</w:t>
      </w:r>
      <w:r>
        <w:rPr>
          <w:rFonts w:hint="eastAsia" w:cs="Times New Roman"/>
          <w:snapToGrid/>
          <w:spacing w:val="0"/>
          <w:sz w:val="21"/>
          <w:szCs w:val="21"/>
          <w:lang w:val="en-US" w:eastAsia="zh-CN"/>
        </w:rPr>
        <w:t>监管</w:t>
      </w:r>
      <w:r>
        <w:rPr>
          <w:rFonts w:hint="eastAsia" w:cs="Times New Roman"/>
          <w:snapToGrid/>
          <w:spacing w:val="0"/>
          <w:sz w:val="21"/>
          <w:szCs w:val="21"/>
          <w:lang w:eastAsia="zh-CN"/>
        </w:rPr>
        <w:t>提供技术支撑。</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3.</w:t>
      </w:r>
      <w:r>
        <w:rPr>
          <w:rFonts w:hint="eastAsia" w:cs="Times New Roman"/>
          <w:snapToGrid/>
          <w:spacing w:val="0"/>
          <w:sz w:val="21"/>
          <w:szCs w:val="21"/>
          <w:lang w:eastAsia="zh-CN"/>
        </w:rPr>
        <w:t>编制食安简报</w:t>
      </w:r>
    </w:p>
    <w:p>
      <w:pPr>
        <w:pStyle w:val="507"/>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组织编制食安简报24期，定期向市食品药品安全委员会成员单位收集食品安全信息，形成《食品简报》，</w:t>
      </w:r>
      <w:r>
        <w:rPr>
          <w:rFonts w:hint="eastAsia" w:cs="Times New Roman"/>
          <w:snapToGrid/>
          <w:spacing w:val="0"/>
          <w:sz w:val="21"/>
          <w:szCs w:val="21"/>
          <w:lang w:eastAsia="zh-CN"/>
        </w:rPr>
        <w:t>编制成册并印刷。</w:t>
      </w:r>
    </w:p>
    <w:p>
      <w:pPr>
        <w:pStyle w:val="507"/>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4.</w:t>
      </w:r>
      <w:r>
        <w:rPr>
          <w:rFonts w:hint="eastAsia" w:cs="Times New Roman"/>
          <w:snapToGrid/>
          <w:spacing w:val="0"/>
          <w:sz w:val="21"/>
          <w:szCs w:val="21"/>
          <w:lang w:eastAsia="zh-CN"/>
        </w:rPr>
        <w:t>其他内容</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lang w:eastAsia="zh-CN"/>
        </w:rPr>
        <w:t>定期通过组织的会议、专家现场指导、专家市内外调研等方式，提出食品安全专家委员会顾问咨询措施建议，为保障为充分发挥食品安全专家在食品安全监督管理工作中的作用、借助专家的知识和经验，帮助提高我市食品安全工作的决策水平提供参考。</w:t>
      </w:r>
    </w:p>
    <w:p>
      <w:pPr>
        <w:pStyle w:val="322"/>
        <w:ind w:firstLine="0" w:firstLineChars="0"/>
        <w:rPr>
          <w:b/>
        </w:rPr>
      </w:pPr>
    </w:p>
    <w:p>
      <w:pPr>
        <w:pStyle w:val="322"/>
        <w:ind w:firstLine="0" w:firstLineChars="0"/>
        <w:rPr>
          <w:b/>
        </w:rPr>
      </w:pPr>
      <w:r>
        <w:rPr>
          <w:rFonts w:hint="eastAsia"/>
          <w:b/>
        </w:rPr>
        <w:t>三、项目商务要求</w:t>
      </w:r>
    </w:p>
    <w:p>
      <w:pPr>
        <w:pStyle w:val="256"/>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6"/>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lang w:val="en-US" w:eastAsia="zh-CN"/>
        </w:rPr>
        <w:t>自</w:t>
      </w:r>
      <w:r>
        <w:rPr>
          <w:rFonts w:hint="eastAsia" w:asciiTheme="minorEastAsia" w:hAnsiTheme="minorEastAsia" w:eastAsiaTheme="minorEastAsia"/>
          <w:b/>
          <w:highlight w:val="yellow"/>
          <w:lang w:eastAsia="zh-CN"/>
        </w:rPr>
        <w:t>合同签订之日起</w:t>
      </w:r>
      <w:r>
        <w:rPr>
          <w:rFonts w:hint="eastAsia" w:asciiTheme="minorEastAsia" w:hAnsiTheme="minorEastAsia" w:eastAsiaTheme="minorEastAsia"/>
          <w:b/>
          <w:highlight w:val="yellow"/>
          <w:lang w:val="en-US" w:eastAsia="zh-CN"/>
        </w:rPr>
        <w:t>至2022年11月30日前完成</w:t>
      </w:r>
      <w:r>
        <w:rPr>
          <w:rFonts w:hint="eastAsia" w:asciiTheme="minorEastAsia" w:hAnsiTheme="minorEastAsia" w:eastAsiaTheme="minorEastAsia"/>
          <w:b/>
          <w:highlight w:val="yellow"/>
          <w:lang w:eastAsia="zh-CN"/>
        </w:rPr>
        <w:t>。</w:t>
      </w:r>
      <w:r>
        <w:rPr>
          <w:rFonts w:hint="eastAsia" w:asciiTheme="minorEastAsia" w:hAnsiTheme="minorEastAsia" w:eastAsiaTheme="minorEastAsia"/>
          <w:b/>
          <w:highlight w:val="yellow"/>
          <w:lang w:val="en-US" w:eastAsia="zh-CN"/>
        </w:rPr>
        <w:t>本项目属于长期服务项目，采购人可根据中标供应商履约服务情况申请延长，但累计服务期限最长不超过三年，合同一年一签。</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w:t>
      </w:r>
      <w:r>
        <w:rPr>
          <w:rFonts w:hint="eastAsia" w:asciiTheme="minorEastAsia" w:hAnsiTheme="minorEastAsia" w:eastAsiaTheme="minorEastAsia"/>
          <w:b/>
          <w:lang w:val="en-US" w:eastAsia="zh-CN"/>
        </w:rPr>
        <w:t>知识产权</w:t>
      </w:r>
      <w:r>
        <w:rPr>
          <w:rFonts w:hint="eastAsia" w:asciiTheme="minorEastAsia" w:hAnsiTheme="minorEastAsia" w:eastAsiaTheme="minorEastAsia"/>
          <w:b/>
        </w:rPr>
        <w:t>：</w:t>
      </w:r>
    </w:p>
    <w:p>
      <w:pPr>
        <w:pStyle w:val="256"/>
        <w:spacing w:beforeLines="0" w:line="360" w:lineRule="auto"/>
        <w:ind w:firstLine="424" w:firstLineChars="202"/>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1.中标供应商</w:t>
      </w:r>
      <w:r>
        <w:rPr>
          <w:rFonts w:hint="eastAsia" w:asciiTheme="minorEastAsia" w:hAnsiTheme="minorEastAsia" w:eastAsiaTheme="minorEastAsia"/>
          <w:b w:val="0"/>
          <w:bCs/>
        </w:rPr>
        <w:t>在项目实施过程中不得侵犯第三人知识产权以及其他权益。需要使用第三人知识产权的，</w:t>
      </w:r>
      <w:r>
        <w:rPr>
          <w:rFonts w:hint="eastAsia" w:asciiTheme="minorEastAsia" w:hAnsiTheme="minorEastAsia" w:eastAsiaTheme="minorEastAsia"/>
          <w:b w:val="0"/>
          <w:bCs/>
          <w:lang w:val="en-US" w:eastAsia="zh-CN"/>
        </w:rPr>
        <w:t>中标供应商</w:t>
      </w:r>
      <w:r>
        <w:rPr>
          <w:rFonts w:hint="eastAsia" w:asciiTheme="minorEastAsia" w:hAnsiTheme="minorEastAsia" w:eastAsiaTheme="minorEastAsia"/>
          <w:b w:val="0"/>
          <w:bCs/>
        </w:rPr>
        <w:t>应取得权利人许可或者授权并由</w:t>
      </w:r>
      <w:r>
        <w:rPr>
          <w:rFonts w:hint="eastAsia" w:asciiTheme="minorEastAsia" w:hAnsiTheme="minorEastAsia" w:eastAsiaTheme="minorEastAsia"/>
          <w:b w:val="0"/>
          <w:bCs/>
          <w:lang w:val="en-US" w:eastAsia="zh-CN"/>
        </w:rPr>
        <w:t>中标供应商</w:t>
      </w:r>
      <w:r>
        <w:rPr>
          <w:rFonts w:hint="eastAsia" w:asciiTheme="minorEastAsia" w:hAnsiTheme="minorEastAsia" w:eastAsiaTheme="minorEastAsia"/>
          <w:b w:val="0"/>
          <w:bCs/>
        </w:rPr>
        <w:t>承担费用。</w:t>
      </w:r>
    </w:p>
    <w:p>
      <w:pPr>
        <w:pStyle w:val="256"/>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 w:val="0"/>
          <w:bCs/>
          <w:lang w:val="en-US" w:eastAsia="zh-CN"/>
        </w:rPr>
        <w:t>2.</w:t>
      </w:r>
      <w:r>
        <w:rPr>
          <w:rFonts w:hint="eastAsia" w:asciiTheme="minorEastAsia" w:hAnsiTheme="minorEastAsia" w:eastAsiaTheme="minorEastAsia"/>
          <w:b w:val="0"/>
          <w:bCs/>
        </w:rPr>
        <w:t>除第三人依法享有知识产权的除外，</w:t>
      </w:r>
      <w:r>
        <w:rPr>
          <w:rFonts w:hint="eastAsia" w:asciiTheme="minorEastAsia" w:hAnsiTheme="minorEastAsia" w:eastAsiaTheme="minorEastAsia"/>
          <w:b w:val="0"/>
          <w:bCs/>
          <w:lang w:val="en-US" w:eastAsia="zh-CN"/>
        </w:rPr>
        <w:t>中标供应商</w:t>
      </w:r>
      <w:r>
        <w:rPr>
          <w:rFonts w:hint="eastAsia" w:asciiTheme="minorEastAsia" w:hAnsiTheme="minorEastAsia" w:eastAsiaTheme="minorEastAsia"/>
          <w:b w:val="0"/>
          <w:bCs/>
        </w:rPr>
        <w:t>实施本项目所形成成果的知识产权归</w:t>
      </w:r>
      <w:r>
        <w:rPr>
          <w:rFonts w:hint="eastAsia" w:asciiTheme="minorEastAsia" w:hAnsiTheme="minorEastAsia" w:eastAsiaTheme="minorEastAsia"/>
          <w:b w:val="0"/>
          <w:bCs/>
          <w:lang w:eastAsia="zh-CN"/>
        </w:rPr>
        <w:t>采购人</w:t>
      </w:r>
      <w:r>
        <w:rPr>
          <w:rFonts w:hint="eastAsia" w:asciiTheme="minorEastAsia" w:hAnsiTheme="minorEastAsia" w:eastAsiaTheme="minorEastAsia"/>
          <w:b w:val="0"/>
          <w:bCs/>
        </w:rPr>
        <w:t>所有，未经</w:t>
      </w:r>
      <w:r>
        <w:rPr>
          <w:rFonts w:hint="eastAsia" w:asciiTheme="minorEastAsia" w:hAnsiTheme="minorEastAsia" w:eastAsiaTheme="minorEastAsia"/>
          <w:b w:val="0"/>
          <w:bCs/>
          <w:lang w:eastAsia="zh-CN"/>
        </w:rPr>
        <w:t>采购人</w:t>
      </w:r>
      <w:r>
        <w:rPr>
          <w:rFonts w:hint="eastAsia" w:asciiTheme="minorEastAsia" w:hAnsiTheme="minorEastAsia" w:eastAsiaTheme="minorEastAsia"/>
          <w:b w:val="0"/>
          <w:bCs/>
        </w:rPr>
        <w:t>许可，</w:t>
      </w:r>
      <w:r>
        <w:rPr>
          <w:rFonts w:hint="eastAsia" w:asciiTheme="minorEastAsia" w:hAnsiTheme="minorEastAsia" w:eastAsiaTheme="minorEastAsia"/>
          <w:b w:val="0"/>
          <w:bCs/>
          <w:lang w:val="en-US" w:eastAsia="zh-CN"/>
        </w:rPr>
        <w:t>中标供应商</w:t>
      </w:r>
      <w:r>
        <w:rPr>
          <w:rFonts w:hint="eastAsia" w:asciiTheme="minorEastAsia" w:hAnsiTheme="minorEastAsia" w:eastAsiaTheme="minorEastAsia"/>
          <w:b w:val="0"/>
          <w:bCs/>
        </w:rPr>
        <w:t>不得随意使用。</w:t>
      </w:r>
    </w:p>
    <w:p>
      <w:pPr>
        <w:pStyle w:val="256"/>
        <w:spacing w:beforeLines="0" w:line="360" w:lineRule="auto"/>
        <w:ind w:firstLine="0" w:firstLineChars="0"/>
        <w:rPr>
          <w:rFonts w:hint="eastAsia" w:asciiTheme="minorEastAsia" w:hAnsiTheme="minorEastAsia" w:eastAsiaTheme="minorEastAsia"/>
          <w:b/>
        </w:rPr>
      </w:pP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2.投标供应商应当根据本企业的成本自行决定报价，但不得以低于其企业成本的报价投标。</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3.投标供应商的报价不得超过项目预算金额。</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4.投标供应商的报价，应当是本项目采购范围和采购文件及合同条款上所列的各项内容中所述的全部，不得以任何理由予以重复。</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60" w:lineRule="auto"/>
        <w:ind w:firstLine="420" w:firstLineChars="200"/>
        <w:jc w:val="left"/>
        <w:rPr>
          <w:rFonts w:ascii="宋体" w:hAnsi="宋体"/>
          <w:szCs w:val="21"/>
        </w:rPr>
      </w:pPr>
      <w:r>
        <w:rPr>
          <w:rFonts w:hint="eastAsia" w:ascii="宋体" w:hAnsi="宋体"/>
          <w:szCs w:val="21"/>
          <w:lang w:val="en-US" w:eastAsia="zh-CN"/>
        </w:rPr>
        <w:t>6.投标供应商不得期望通过索赔等方式获取补偿，否则，除可能遭到拒绝外，还可能将被作为不良行为记录在案，并可能影响其以后参加政府采购的项目投标。各投标供应商在报价时，应充分考虑报价的风险。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lang w:val="en-US" w:eastAsia="zh-CN"/>
        </w:rPr>
        <w:t>分期付款：采购方在</w:t>
      </w:r>
      <w:r>
        <w:rPr>
          <w:rFonts w:hint="eastAsia" w:ascii="宋体" w:hAnsi="宋体"/>
          <w:szCs w:val="21"/>
          <w:lang w:eastAsia="zh-CN"/>
        </w:rPr>
        <w:t>合同签订后，且收到中标方提供符合规定发票后</w:t>
      </w:r>
      <w:r>
        <w:rPr>
          <w:rFonts w:hint="eastAsia" w:ascii="宋体" w:hAnsi="宋体"/>
          <w:szCs w:val="21"/>
          <w:u w:val="single"/>
          <w:lang w:val="en-US" w:eastAsia="zh-CN"/>
        </w:rPr>
        <w:t xml:space="preserve"> 30 </w:t>
      </w:r>
      <w:r>
        <w:rPr>
          <w:rFonts w:hint="eastAsia" w:ascii="宋体" w:hAnsi="宋体"/>
          <w:szCs w:val="21"/>
          <w:lang w:val="en-US" w:eastAsia="zh-CN"/>
        </w:rPr>
        <w:t>日内支付合同总额的</w:t>
      </w:r>
      <w:r>
        <w:rPr>
          <w:rFonts w:hint="eastAsia" w:ascii="宋体" w:hAnsi="宋体"/>
          <w:szCs w:val="21"/>
          <w:u w:val="single"/>
          <w:lang w:val="en-US" w:eastAsia="zh-CN"/>
        </w:rPr>
        <w:t xml:space="preserve"> 50% </w:t>
      </w:r>
      <w:r>
        <w:rPr>
          <w:rFonts w:hint="eastAsia" w:ascii="宋体" w:hAnsi="宋体"/>
          <w:szCs w:val="21"/>
          <w:lang w:val="en-US" w:eastAsia="zh-CN"/>
        </w:rPr>
        <w:t>作为首期款，余款按进度支付。</w:t>
      </w:r>
    </w:p>
    <w:p>
      <w:pPr>
        <w:pStyle w:val="256"/>
        <w:spacing w:before="156" w:line="360" w:lineRule="auto"/>
        <w:ind w:firstLine="0" w:firstLineChars="0"/>
        <w:rPr>
          <w:rFonts w:ascii="宋体" w:hAnsi="宋体" w:cs="宋体"/>
          <w:kern w:val="0"/>
          <w:szCs w:val="21"/>
        </w:rPr>
      </w:pPr>
      <w:r>
        <w:rPr>
          <w:szCs w:val="21"/>
        </w:rPr>
        <w:br w:type="page"/>
      </w:r>
    </w:p>
    <w:p>
      <w:pPr>
        <w:pStyle w:val="457"/>
        <w:spacing w:before="0" w:beforeAutospacing="0" w:after="0" w:afterAutospacing="0" w:line="360" w:lineRule="auto"/>
        <w:rPr>
          <w:sz w:val="21"/>
          <w:szCs w:val="21"/>
        </w:rPr>
      </w:pPr>
    </w:p>
    <w:p>
      <w:pPr>
        <w:pStyle w:val="3"/>
      </w:pPr>
      <w:bookmarkStart w:id="2" w:name="_Toc23182"/>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11123"/>
      <w:r>
        <w:rPr>
          <w:rFonts w:hint="eastAsia"/>
        </w:rPr>
        <w:t>第四章  评标方法和标准</w:t>
      </w:r>
      <w:bookmarkEnd w:id="3"/>
    </w:p>
    <w:p/>
    <w:p>
      <w:pPr>
        <w:pStyle w:val="5"/>
        <w:spacing w:before="0" w:after="0"/>
      </w:pPr>
      <w:bookmarkStart w:id="4" w:name="_Toc44691161"/>
      <w:bookmarkStart w:id="5" w:name="_Toc44690429"/>
      <w:bookmarkStart w:id="6" w:name="_Toc44691393"/>
      <w:bookmarkStart w:id="7" w:name="_Toc44690702"/>
      <w:bookmarkStart w:id="8" w:name="_Toc555"/>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28861"/>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×10</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cs="宋体"/>
                <w:kern w:val="0"/>
                <w:szCs w:val="21"/>
                <w:lang w:val="en-US" w:eastAsia="zh-CN"/>
              </w:rPr>
              <w:t>12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color w:val="auto"/>
              </w:rPr>
              <w:t>针对深圳市食品安全专家委员会运维服务，提供项目</w:t>
            </w:r>
            <w:r>
              <w:rPr>
                <w:rFonts w:hint="eastAsia"/>
                <w:color w:val="auto"/>
                <w:lang w:val="en-US" w:eastAsia="zh-CN"/>
              </w:rPr>
              <w:t>服务</w:t>
            </w:r>
            <w:r>
              <w:rPr>
                <w:rFonts w:hint="eastAsia"/>
                <w:color w:val="auto"/>
              </w:rPr>
              <w:t>方案，包含总体思路、实施路径、进度安排、</w:t>
            </w:r>
            <w:r>
              <w:rPr>
                <w:rFonts w:hint="eastAsia"/>
                <w:color w:val="auto"/>
                <w:lang w:val="en-US" w:eastAsia="zh-CN"/>
              </w:rPr>
              <w:t>会议计划</w:t>
            </w:r>
            <w:r>
              <w:rPr>
                <w:rFonts w:hint="eastAsia"/>
                <w:color w:val="auto"/>
              </w:rPr>
              <w:t>等内容。</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ascii="宋体" w:hAnsi="宋体" w:cs="宋体"/>
                <w:szCs w:val="21"/>
              </w:rPr>
            </w:pPr>
            <w:r>
              <w:rPr>
                <w:rFonts w:hint="eastAsia" w:ascii="宋体" w:hAnsi="宋体" w:cs="宋体"/>
                <w:szCs w:val="21"/>
              </w:rPr>
              <w:t>（1）服务方案根据招标文件服务需求编写，方案内容详细、具体；</w:t>
            </w:r>
          </w:p>
          <w:p>
            <w:pPr>
              <w:autoSpaceDE w:val="0"/>
              <w:autoSpaceDN w:val="0"/>
              <w:adjustRightInd w:val="0"/>
              <w:spacing w:line="360" w:lineRule="exact"/>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autoSpaceDE w:val="0"/>
              <w:autoSpaceDN w:val="0"/>
              <w:adjustRightInd w:val="0"/>
              <w:spacing w:line="360" w:lineRule="exact"/>
              <w:rPr>
                <w:rFonts w:ascii="宋体" w:hAnsi="宋体" w:cs="宋体"/>
                <w:szCs w:val="21"/>
              </w:rPr>
            </w:pPr>
            <w:r>
              <w:rPr>
                <w:rFonts w:hint="eastAsia" w:ascii="宋体" w:hAnsi="宋体" w:cs="宋体"/>
                <w:szCs w:val="21"/>
              </w:rPr>
              <w:t>（3）</w:t>
            </w:r>
            <w:r>
              <w:rPr>
                <w:rFonts w:hint="eastAsia" w:cs="宋体" w:asciiTheme="minorEastAsia" w:hAnsiTheme="minorEastAsia" w:eastAsiaTheme="minorEastAsia"/>
                <w:szCs w:val="21"/>
              </w:rPr>
              <w:t>工作手段、工作流程</w:t>
            </w:r>
            <w:r>
              <w:rPr>
                <w:rFonts w:hint="eastAsia" w:ascii="宋体" w:hAnsi="宋体" w:cs="宋体"/>
                <w:szCs w:val="21"/>
              </w:rPr>
              <w:t>能根据各阶段工作计划编写，各阶段工作计划衔接性强；</w:t>
            </w:r>
          </w:p>
          <w:p>
            <w:pPr>
              <w:spacing w:line="360" w:lineRule="exact"/>
              <w:jc w:val="left"/>
              <w:rPr>
                <w:rFonts w:ascii="宋体" w:hAnsi="宋体"/>
                <w:color w:val="000000" w:themeColor="text1"/>
                <w:szCs w:val="21"/>
                <w14:textFill>
                  <w14:solidFill>
                    <w14:schemeClr w14:val="tx1"/>
                  </w14:solidFill>
                </w14:textFill>
              </w:rPr>
            </w:pPr>
            <w:r>
              <w:rPr>
                <w:rFonts w:hint="eastAsia" w:ascii="宋体" w:hAnsi="宋体" w:cs="宋体"/>
                <w:szCs w:val="21"/>
              </w:rPr>
              <w:t>（4）根据项目需求提供切实可行的</w:t>
            </w:r>
            <w:r>
              <w:rPr>
                <w:rFonts w:hint="eastAsia" w:cs="宋体" w:asciiTheme="minorEastAsia" w:hAnsiTheme="minorEastAsia" w:eastAsiaTheme="minorEastAsia"/>
                <w:szCs w:val="21"/>
              </w:rPr>
              <w:t>项目管理服务承诺</w:t>
            </w:r>
            <w:r>
              <w:rPr>
                <w:rFonts w:hint="eastAsia" w:ascii="宋体" w:hAnsi="宋体"/>
                <w:color w:val="000000" w:themeColor="text1"/>
                <w:szCs w:val="21"/>
                <w14:textFill>
                  <w14:solidFill>
                    <w14:schemeClr w14:val="tx1"/>
                  </w14:solidFill>
                </w14:textFill>
              </w:rPr>
              <w:t>。</w:t>
            </w:r>
          </w:p>
          <w:p>
            <w:pPr>
              <w:autoSpaceDE w:val="0"/>
              <w:autoSpaceDN w:val="0"/>
              <w:adjustRightInd w:val="0"/>
              <w:spacing w:line="360" w:lineRule="exact"/>
              <w:rPr>
                <w:rFonts w:ascii="宋体" w:hAnsi="宋体"/>
                <w:kern w:val="0"/>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12</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8</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4</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szCs w:val="21"/>
                <w:lang w:val="en-US" w:eastAsia="zh-CN"/>
              </w:rPr>
              <w:t>12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分析本项目工作的重点、难点，并根据分析的结果制定相应的工作规划和应对措施，制定的规划、措施能够对后续开展本项目工作进行有针对性的指导。</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（1）对项目重点难点分析全面、清晰到位；</w:t>
            </w:r>
          </w:p>
          <w:p>
            <w:pPr>
              <w:widowControl/>
              <w:snapToGrid w:val="0"/>
              <w:spacing w:line="360" w:lineRule="exact"/>
              <w:jc w:val="left"/>
              <w:rPr>
                <w:rFonts w:ascii="宋体" w:hAnsi="宋体"/>
                <w:kern w:val="0"/>
                <w:szCs w:val="21"/>
              </w:rPr>
            </w:pPr>
            <w:r>
              <w:rPr>
                <w:rFonts w:hint="eastAsia" w:ascii="宋体" w:hAnsi="宋体"/>
                <w:kern w:val="0"/>
                <w:szCs w:val="21"/>
              </w:rPr>
              <w:t>（2）能针对项目重点难点逐项提出应对措施及相关的合理化建议；</w:t>
            </w:r>
          </w:p>
          <w:p>
            <w:pPr>
              <w:widowControl/>
              <w:snapToGrid w:val="0"/>
              <w:spacing w:line="360" w:lineRule="exact"/>
              <w:jc w:val="left"/>
              <w:rPr>
                <w:rFonts w:ascii="宋体" w:hAnsi="宋体"/>
                <w:kern w:val="0"/>
                <w:szCs w:val="21"/>
              </w:rPr>
            </w:pPr>
            <w:r>
              <w:rPr>
                <w:rFonts w:hint="eastAsia" w:ascii="宋体" w:hAnsi="宋体"/>
                <w:kern w:val="0"/>
                <w:szCs w:val="21"/>
              </w:rPr>
              <w:t>（3）应对措施针对性强、可操作性强；</w:t>
            </w:r>
          </w:p>
          <w:p>
            <w:pPr>
              <w:widowControl/>
              <w:snapToGrid w:val="0"/>
              <w:spacing w:line="360" w:lineRule="exact"/>
              <w:jc w:val="left"/>
              <w:rPr>
                <w:rFonts w:ascii="宋体" w:hAnsi="宋体"/>
                <w:kern w:val="0"/>
                <w:szCs w:val="21"/>
              </w:rPr>
            </w:pPr>
            <w:r>
              <w:rPr>
                <w:rFonts w:hint="eastAsia" w:ascii="宋体" w:hAnsi="宋体"/>
                <w:kern w:val="0"/>
                <w:szCs w:val="21"/>
              </w:rPr>
              <w:t>（4）相关的合理化建议可实施性强。</w:t>
            </w:r>
          </w:p>
          <w:p>
            <w:pPr>
              <w:autoSpaceDE w:val="0"/>
              <w:autoSpaceDN w:val="0"/>
              <w:adjustRightInd w:val="0"/>
              <w:spacing w:line="360" w:lineRule="exact"/>
              <w:rPr>
                <w:rFonts w:ascii="宋体" w:hAnsi="宋体" w:cs="宋体"/>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12</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8</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4</w:t>
            </w:r>
            <w:r>
              <w:rPr>
                <w:rFonts w:hint="eastAsia" w:asciiTheme="minorEastAsia" w:hAnsiTheme="minorEastAsia" w:eastAsiaTheme="minorEastAsia"/>
              </w:rPr>
              <w:t>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质量保障措施及方案</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10</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ascii="宋体" w:hAnsi="宋体"/>
                <w:kern w:val="0"/>
                <w:szCs w:val="21"/>
              </w:rPr>
            </w:pPr>
            <w:r>
              <w:rPr>
                <w:rFonts w:hint="eastAsia" w:ascii="宋体" w:hAnsi="宋体"/>
                <w:szCs w:val="21"/>
              </w:rPr>
              <w:t>质量保障措施及方案</w:t>
            </w:r>
            <w:r>
              <w:rPr>
                <w:rFonts w:hint="eastAsia" w:ascii="宋体" w:hAnsi="宋体"/>
                <w:color w:val="auto"/>
                <w:szCs w:val="21"/>
              </w:rPr>
              <w:t>需求</w:t>
            </w:r>
            <w:r>
              <w:rPr>
                <w:rFonts w:hint="eastAsia" w:ascii="宋体" w:hAnsi="宋体"/>
                <w:color w:val="auto"/>
                <w:szCs w:val="21"/>
                <w:lang w:val="en-US" w:eastAsia="zh-CN"/>
              </w:rPr>
              <w:t>需</w:t>
            </w:r>
            <w:r>
              <w:rPr>
                <w:rFonts w:hint="eastAsia" w:ascii="宋体" w:hAnsi="宋体"/>
                <w:color w:val="auto"/>
                <w:szCs w:val="21"/>
              </w:rPr>
              <w:t>涉及到</w:t>
            </w:r>
            <w:r>
              <w:rPr>
                <w:rFonts w:hint="eastAsia" w:ascii="宋体" w:hAnsi="宋体"/>
                <w:color w:val="auto"/>
                <w:szCs w:val="21"/>
                <w:lang w:val="en-US" w:eastAsia="zh-CN"/>
              </w:rPr>
              <w:t>本项目的</w:t>
            </w:r>
            <w:r>
              <w:rPr>
                <w:rFonts w:hint="eastAsia" w:ascii="宋体" w:hAnsi="宋体"/>
                <w:color w:val="auto"/>
                <w:szCs w:val="21"/>
              </w:rPr>
              <w:t>服务内容，并具有针对性</w:t>
            </w:r>
            <w:r>
              <w:rPr>
                <w:rFonts w:hint="eastAsia" w:ascii="宋体" w:hAnsi="宋体"/>
                <w:color w:val="auto"/>
                <w:szCs w:val="21"/>
                <w:lang w:eastAsia="zh-CN"/>
              </w:rPr>
              <w:t>；</w:t>
            </w:r>
            <w:r>
              <w:rPr>
                <w:rFonts w:hint="eastAsia" w:ascii="宋体" w:hAnsi="宋体"/>
                <w:color w:val="auto"/>
                <w:szCs w:val="21"/>
              </w:rPr>
              <w:t>需成立必要的团队，并有明确分工，设立工作机制和考核目标，保障项目顺利推进；需提供明确的项目执行计划时间表，保障项目有质有量的完成。</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（1）投标人具备保障项目质量的相关管理制度；</w:t>
            </w:r>
          </w:p>
          <w:p>
            <w:pPr>
              <w:widowControl/>
              <w:snapToGrid w:val="0"/>
              <w:spacing w:line="360" w:lineRule="exact"/>
              <w:jc w:val="left"/>
              <w:rPr>
                <w:rFonts w:ascii="宋体" w:hAnsi="宋体"/>
                <w:kern w:val="0"/>
                <w:szCs w:val="21"/>
              </w:rPr>
            </w:pPr>
            <w:r>
              <w:rPr>
                <w:rFonts w:hint="eastAsia" w:ascii="宋体" w:hAnsi="宋体"/>
                <w:kern w:val="0"/>
                <w:szCs w:val="21"/>
              </w:rPr>
              <w:t>（2）服务质量检查、整改方案详细，且能有效把控项目成果；</w:t>
            </w:r>
          </w:p>
          <w:p>
            <w:pPr>
              <w:widowControl/>
              <w:snapToGrid w:val="0"/>
              <w:spacing w:line="360" w:lineRule="exact"/>
              <w:jc w:val="left"/>
              <w:rPr>
                <w:rFonts w:ascii="宋体" w:hAnsi="宋体"/>
                <w:kern w:val="0"/>
                <w:szCs w:val="21"/>
              </w:rPr>
            </w:pPr>
            <w:r>
              <w:rPr>
                <w:rFonts w:hint="eastAsia" w:ascii="宋体" w:hAnsi="宋体"/>
                <w:kern w:val="0"/>
                <w:szCs w:val="21"/>
              </w:rPr>
              <w:t>（3）项目实施过程中服务人员稳定；</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（4）项目成果安全性保障措施成熟可靠。</w:t>
            </w:r>
          </w:p>
          <w:p>
            <w:pPr>
              <w:widowControl/>
              <w:snapToGrid w:val="0"/>
              <w:spacing w:line="360" w:lineRule="exact"/>
              <w:jc w:val="left"/>
              <w:rPr>
                <w:rFonts w:ascii="宋体" w:hAnsi="宋体"/>
                <w:kern w:val="0"/>
                <w:szCs w:val="21"/>
              </w:rPr>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10</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6</w:t>
            </w:r>
            <w:r>
              <w:rPr>
                <w:rFonts w:hint="eastAsia" w:asciiTheme="minorEastAsia" w:hAnsiTheme="minorEastAsia" w:eastAsiaTheme="minorEastAsia"/>
              </w:rPr>
              <w:t>分，满足其中二项要求的得</w:t>
            </w:r>
            <w:r>
              <w:rPr>
                <w:rFonts w:hint="eastAsia" w:asciiTheme="minorEastAsia" w:hAnsiTheme="minorEastAsia" w:eastAsiaTheme="minorEastAsia"/>
                <w:lang w:val="en-US" w:eastAsia="zh-CN"/>
              </w:rPr>
              <w:t>3</w:t>
            </w:r>
            <w:r>
              <w:rPr>
                <w:rFonts w:hint="eastAsia" w:asciiTheme="minorEastAsia" w:hAnsiTheme="minorEastAsia" w:eastAsiaTheme="minorEastAsia"/>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cs="宋体"/>
                <w:szCs w:val="21"/>
              </w:rPr>
              <w:t>投标人提供服务期满后的服务承诺，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lang w:val="en-US" w:eastAsia="zh-CN"/>
              </w:rPr>
              <w:t>2</w:t>
            </w:r>
            <w:r>
              <w:rPr>
                <w:rFonts w:ascii="宋体" w:hAnsi="宋体"/>
                <w:szCs w:val="21"/>
              </w:rPr>
              <w:t>分，否则不得分。</w:t>
            </w:r>
          </w:p>
          <w:p>
            <w:pPr>
              <w:autoSpaceDE w:val="0"/>
              <w:autoSpaceDN w:val="0"/>
              <w:adjustRightInd w:val="0"/>
              <w:spacing w:line="360" w:lineRule="exact"/>
              <w:rPr>
                <w:rFonts w:ascii="宋体" w:hAnsi="宋体" w:cs="宋体"/>
                <w:szCs w:val="21"/>
              </w:rPr>
            </w:pPr>
            <w:r>
              <w:rPr>
                <w:rFonts w:hint="eastAsia" w:ascii="宋体" w:hAnsi="宋体" w:cs="宋体"/>
                <w:szCs w:val="21"/>
              </w:rPr>
              <w:t xml:space="preserve">（1）服务期满后主动离岗； </w:t>
            </w:r>
          </w:p>
          <w:p>
            <w:pPr>
              <w:autoSpaceDE w:val="0"/>
              <w:autoSpaceDN w:val="0"/>
              <w:adjustRightInd w:val="0"/>
              <w:spacing w:line="360" w:lineRule="exact"/>
              <w:rPr>
                <w:rFonts w:ascii="宋体" w:hAnsi="宋体" w:cs="宋体"/>
                <w:szCs w:val="21"/>
              </w:rPr>
            </w:pPr>
            <w:r>
              <w:rPr>
                <w:rFonts w:hint="eastAsia" w:ascii="宋体" w:hAnsi="宋体" w:cs="宋体"/>
                <w:szCs w:val="21"/>
              </w:rPr>
              <w:t xml:space="preserve">（2）与后续服务公司进行交接； </w:t>
            </w:r>
          </w:p>
          <w:p>
            <w:pPr>
              <w:autoSpaceDE w:val="0"/>
              <w:autoSpaceDN w:val="0"/>
              <w:adjustRightInd w:val="0"/>
              <w:spacing w:line="360" w:lineRule="exact"/>
              <w:rPr>
                <w:rFonts w:ascii="宋体" w:hAnsi="宋体" w:cs="宋体"/>
                <w:szCs w:val="21"/>
              </w:rPr>
            </w:pPr>
            <w:r>
              <w:rPr>
                <w:rFonts w:hint="eastAsia" w:ascii="宋体" w:hAnsi="宋体" w:cs="宋体"/>
                <w:szCs w:val="21"/>
              </w:rPr>
              <w:t>（3）服务期满，后续服务公司未到位前仍按原合同服务承诺提供服务。</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cs="宋体"/>
                <w:szCs w:val="21"/>
              </w:rPr>
              <w:t>提供《</w:t>
            </w:r>
            <w:r>
              <w:rPr>
                <w:rFonts w:hint="eastAsia" w:ascii="宋体" w:hAnsi="宋体"/>
                <w:szCs w:val="21"/>
              </w:rPr>
              <w:t>项目完成（服务期满）后的服务承诺函》</w:t>
            </w:r>
            <w:r>
              <w:rPr>
                <w:rFonts w:hint="eastAsia" w:ascii="宋体" w:hAnsi="宋体" w:cs="宋体"/>
                <w:szCs w:val="21"/>
              </w:rPr>
              <w:t>（格式自定）作为得分依据，未提供承诺或承诺内容不满足要求不得分。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投标人提供项目违约承诺</w:t>
            </w:r>
            <w:r>
              <w:rPr>
                <w:rFonts w:ascii="宋体" w:hAnsi="宋体" w:cs="宋体"/>
                <w:szCs w:val="21"/>
              </w:rPr>
              <w:t>，</w:t>
            </w:r>
            <w:r>
              <w:rPr>
                <w:rFonts w:hint="eastAsia" w:ascii="宋体" w:hAnsi="宋体" w:cs="宋体"/>
                <w:szCs w:val="21"/>
              </w:rPr>
              <w:t>满足</w:t>
            </w:r>
            <w:r>
              <w:rPr>
                <w:rFonts w:ascii="宋体" w:hAnsi="宋体" w:cs="宋体"/>
                <w:szCs w:val="21"/>
              </w:rPr>
              <w:t>以下</w:t>
            </w:r>
            <w:r>
              <w:rPr>
                <w:rFonts w:hint="eastAsia" w:ascii="宋体" w:hAnsi="宋体" w:cs="宋体"/>
                <w:szCs w:val="21"/>
              </w:rPr>
              <w:t>全部要求</w:t>
            </w:r>
            <w:r>
              <w:rPr>
                <w:rFonts w:ascii="宋体" w:hAnsi="宋体"/>
                <w:szCs w:val="21"/>
              </w:rPr>
              <w:t>的得</w:t>
            </w:r>
            <w:r>
              <w:rPr>
                <w:rFonts w:hint="eastAsia" w:ascii="宋体" w:hAnsi="宋体"/>
                <w:szCs w:val="21"/>
                <w:lang w:val="en-US" w:eastAsia="zh-CN"/>
              </w:rPr>
              <w:t>2</w:t>
            </w:r>
            <w:r>
              <w:rPr>
                <w:rFonts w:ascii="宋体" w:hAnsi="宋体"/>
                <w:szCs w:val="21"/>
              </w:rPr>
              <w:t>分，否则不得分。</w:t>
            </w:r>
          </w:p>
          <w:p>
            <w:pPr>
              <w:autoSpaceDE w:val="0"/>
              <w:autoSpaceDN w:val="0"/>
              <w:adjustRightInd w:val="0"/>
              <w:spacing w:line="360" w:lineRule="exact"/>
              <w:rPr>
                <w:rFonts w:ascii="宋体" w:hAnsi="宋体"/>
                <w:szCs w:val="21"/>
              </w:rPr>
            </w:pPr>
            <w:r>
              <w:rPr>
                <w:rFonts w:ascii="宋体" w:hAnsi="宋体"/>
                <w:szCs w:val="21"/>
              </w:rPr>
              <w:t>（1）</w:t>
            </w:r>
            <w:r>
              <w:rPr>
                <w:rFonts w:hint="eastAsia" w:ascii="宋体" w:hAnsi="宋体" w:cs="宋体"/>
                <w:szCs w:val="21"/>
              </w:rPr>
              <w:t>人员严格按照招标文件及投标承诺配置</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cs="宋体"/>
                <w:szCs w:val="21"/>
              </w:rPr>
              <w:t>服务质量达到招标文件要求</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cs="宋体"/>
                <w:szCs w:val="21"/>
              </w:rPr>
              <w:t>对未能达到的管理要求承担管理责任</w:t>
            </w:r>
            <w:r>
              <w:rPr>
                <w:rFonts w:ascii="宋体" w:hAnsi="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szCs w:val="21"/>
              </w:rPr>
              <w:t>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拟安排的项目负责人情况(仅限1人）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pStyle w:val="95"/>
              <w:spacing w:line="360" w:lineRule="exact"/>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w:t>
            </w:r>
            <w:r>
              <w:rPr>
                <w:rFonts w:hint="eastAsia" w:ascii="宋体" w:hAnsi="宋体"/>
                <w:szCs w:val="21"/>
                <w:lang w:val="en-US" w:eastAsia="zh-CN"/>
              </w:rPr>
              <w:t>提供社保证明，</w:t>
            </w:r>
            <w:r>
              <w:rPr>
                <w:rFonts w:hint="eastAsia" w:ascii="宋体" w:hAnsi="宋体"/>
                <w:szCs w:val="21"/>
              </w:rPr>
              <w:t>否则本项不得分。在此基础上，按以下标准评分：</w:t>
            </w:r>
          </w:p>
          <w:p>
            <w:pPr>
              <w:pStyle w:val="95"/>
              <w:spacing w:line="360" w:lineRule="exact"/>
              <w:ind w:firstLine="0" w:firstLineChars="0"/>
              <w:rPr>
                <w:rFonts w:ascii="宋体" w:hAnsi="宋体"/>
                <w:szCs w:val="21"/>
              </w:rPr>
            </w:pPr>
            <w:r>
              <w:rPr>
                <w:rFonts w:hint="eastAsia" w:ascii="宋体" w:hAnsi="宋体"/>
                <w:szCs w:val="21"/>
              </w:rPr>
              <w:t>（1）</w:t>
            </w:r>
            <w:r>
              <w:rPr>
                <w:rFonts w:hint="eastAsia" w:ascii="宋体" w:hAnsi="宋体"/>
                <w:color w:val="auto"/>
                <w:szCs w:val="21"/>
              </w:rPr>
              <w:t>具有食品检验、质量、质量管理、化学</w:t>
            </w:r>
            <w:r>
              <w:rPr>
                <w:rFonts w:hint="eastAsia" w:ascii="宋体" w:hAnsi="宋体"/>
                <w:color w:val="auto"/>
                <w:szCs w:val="21"/>
                <w:lang w:val="en-US" w:eastAsia="zh-CN"/>
              </w:rPr>
              <w:t>正高</w:t>
            </w:r>
            <w:r>
              <w:rPr>
                <w:rFonts w:hint="eastAsia" w:ascii="宋体" w:hAnsi="宋体"/>
                <w:color w:val="auto"/>
                <w:szCs w:val="21"/>
              </w:rPr>
              <w:t>级（教授级/研究员级）职称证明，得</w:t>
            </w:r>
            <w:r>
              <w:rPr>
                <w:rFonts w:hint="eastAsia" w:ascii="宋体" w:hAnsi="宋体"/>
                <w:color w:val="auto"/>
                <w:szCs w:val="21"/>
                <w:lang w:val="en-US" w:eastAsia="zh-CN"/>
              </w:rPr>
              <w:t>3</w:t>
            </w:r>
            <w:r>
              <w:rPr>
                <w:rFonts w:hint="eastAsia" w:ascii="宋体" w:hAnsi="宋体"/>
                <w:color w:val="auto"/>
                <w:szCs w:val="21"/>
              </w:rPr>
              <w:t>分；</w:t>
            </w:r>
          </w:p>
          <w:p>
            <w:pPr>
              <w:pStyle w:val="95"/>
              <w:spacing w:line="360" w:lineRule="exact"/>
              <w:ind w:firstLine="0" w:firstLineChars="0"/>
              <w:rPr>
                <w:rFonts w:ascii="宋体" w:hAnsi="宋体"/>
                <w:szCs w:val="21"/>
              </w:rPr>
            </w:pPr>
            <w:r>
              <w:rPr>
                <w:rFonts w:hint="eastAsia" w:ascii="宋体" w:hAnsi="宋体"/>
                <w:szCs w:val="21"/>
              </w:rPr>
              <w:t>（2）具有食品检验、质量、质量管理、化学专业</w:t>
            </w:r>
            <w:r>
              <w:rPr>
                <w:rFonts w:hint="eastAsia" w:ascii="宋体" w:hAnsi="宋体"/>
                <w:szCs w:val="21"/>
                <w:lang w:val="en-US" w:eastAsia="zh-CN"/>
              </w:rPr>
              <w:t>硕士以上</w:t>
            </w:r>
            <w:r>
              <w:rPr>
                <w:rFonts w:hint="eastAsia" w:ascii="宋体" w:hAnsi="宋体"/>
                <w:szCs w:val="21"/>
              </w:rPr>
              <w:t>学位的</w:t>
            </w:r>
            <w:r>
              <w:rPr>
                <w:rFonts w:hint="eastAsia" w:ascii="宋体" w:hAnsi="宋体"/>
                <w:szCs w:val="21"/>
                <w:lang w:val="en-US" w:eastAsia="zh-CN"/>
              </w:rPr>
              <w:t>2</w:t>
            </w:r>
            <w:r>
              <w:rPr>
                <w:rFonts w:hint="eastAsia" w:ascii="宋体" w:hAnsi="宋体"/>
                <w:szCs w:val="21"/>
              </w:rPr>
              <w:t>分</w:t>
            </w:r>
            <w:r>
              <w:rPr>
                <w:rFonts w:hint="eastAsia" w:ascii="宋体" w:hAnsi="宋体"/>
                <w:szCs w:val="21"/>
                <w:lang w:eastAsia="zh-CN"/>
              </w:rPr>
              <w:t>。</w:t>
            </w:r>
            <w:r>
              <w:rPr>
                <w:rFonts w:hint="eastAsia" w:ascii="宋体" w:hAnsi="宋体"/>
                <w:szCs w:val="21"/>
              </w:rPr>
              <w:t xml:space="preserve"> </w:t>
            </w:r>
          </w:p>
          <w:p>
            <w:pPr>
              <w:pStyle w:val="95"/>
              <w:spacing w:line="360" w:lineRule="exact"/>
              <w:ind w:firstLine="0" w:firstLineChars="0"/>
              <w:rPr>
                <w:rFonts w:ascii="宋体" w:hAnsi="宋体"/>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（二）评分依据：</w:t>
            </w:r>
          </w:p>
          <w:p>
            <w:pPr>
              <w:pStyle w:val="95"/>
              <w:spacing w:line="360" w:lineRule="exact"/>
              <w:ind w:firstLine="0" w:firstLineChars="0"/>
              <w:rPr>
                <w:rFonts w:ascii="宋体" w:hAnsi="宋体"/>
                <w:szCs w:val="21"/>
              </w:rPr>
            </w:pPr>
            <w:r>
              <w:rPr>
                <w:rFonts w:hint="eastAsia" w:ascii="宋体" w:hAnsi="宋体"/>
                <w:szCs w:val="21"/>
              </w:rPr>
              <w:t>1. 提供项目负责人通过投标单位缴纳的载有社保部门公章的近三个月个人社保证明，如开标日前近一个月的社保证明因社保部门原因暂时无法提供，可往前顺延一个月。退休返聘人员需提供劳动合同或返聘协议；</w:t>
            </w:r>
          </w:p>
          <w:p>
            <w:pPr>
              <w:pStyle w:val="95"/>
              <w:spacing w:line="360" w:lineRule="exact"/>
              <w:ind w:firstLine="0" w:firstLineChars="0"/>
              <w:rPr>
                <w:rFonts w:ascii="宋体" w:hAnsi="宋体"/>
                <w:szCs w:val="21"/>
              </w:rPr>
            </w:pPr>
            <w:r>
              <w:rPr>
                <w:rFonts w:hint="eastAsia" w:ascii="宋体" w:hAnsi="宋体"/>
                <w:szCs w:val="21"/>
              </w:rPr>
              <w:t>2.提供上述职称证书、</w:t>
            </w:r>
            <w:r>
              <w:rPr>
                <w:rFonts w:hint="eastAsia" w:ascii="宋体" w:hAnsi="宋体"/>
                <w:szCs w:val="21"/>
                <w:lang w:val="en-US" w:eastAsia="zh-CN"/>
              </w:rPr>
              <w:t>学位</w:t>
            </w:r>
            <w:r>
              <w:rPr>
                <w:rFonts w:hint="eastAsia" w:ascii="宋体" w:hAnsi="宋体"/>
                <w:szCs w:val="21"/>
              </w:rPr>
              <w:t>证书；</w:t>
            </w:r>
          </w:p>
          <w:p>
            <w:pPr>
              <w:pStyle w:val="95"/>
              <w:spacing w:line="360" w:lineRule="exact"/>
              <w:ind w:firstLine="0" w:firstLineChars="0"/>
              <w:rPr>
                <w:rFonts w:ascii="宋体" w:hAnsi="宋体"/>
                <w:szCs w:val="21"/>
              </w:rPr>
            </w:pPr>
            <w:r>
              <w:rPr>
                <w:rFonts w:hint="eastAsia" w:ascii="宋体" w:hAnsi="宋体"/>
                <w:szCs w:val="21"/>
                <w:lang w:val="en-US" w:eastAsia="zh-CN"/>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15"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拟安排的项目团队成员（项目负责人除外）情况</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pStyle w:val="95"/>
              <w:spacing w:line="360" w:lineRule="exact"/>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w:t>
            </w:r>
            <w:r>
              <w:rPr>
                <w:rFonts w:hint="eastAsia" w:ascii="宋体" w:hAnsi="宋体"/>
                <w:szCs w:val="21"/>
                <w:lang w:val="en-US" w:eastAsia="zh-CN"/>
              </w:rPr>
              <w:t>提供社保证明，</w:t>
            </w:r>
            <w:r>
              <w:rPr>
                <w:rFonts w:hint="eastAsia" w:ascii="宋体" w:hAnsi="宋体"/>
                <w:szCs w:val="21"/>
              </w:rPr>
              <w:t>否则本项不得分。在此基础上，按以下标准评分：</w:t>
            </w:r>
          </w:p>
          <w:p>
            <w:pPr>
              <w:pStyle w:val="95"/>
              <w:spacing w:line="360" w:lineRule="exact"/>
              <w:ind w:firstLine="0" w:firstLineChars="0"/>
              <w:rPr>
                <w:rFonts w:ascii="宋体" w:hAnsi="宋体"/>
                <w:szCs w:val="21"/>
              </w:rPr>
            </w:pPr>
            <w:r>
              <w:rPr>
                <w:rFonts w:hint="eastAsia" w:ascii="宋体" w:hAnsi="宋体"/>
                <w:szCs w:val="21"/>
              </w:rPr>
              <w:t>（1）拟安排的项目团队</w:t>
            </w:r>
            <w:r>
              <w:rPr>
                <w:rFonts w:hint="eastAsia" w:ascii="宋体" w:hAnsi="宋体"/>
                <w:szCs w:val="21"/>
                <w:lang w:val="en-US" w:eastAsia="zh-CN"/>
              </w:rPr>
              <w:t>成员</w:t>
            </w:r>
            <w:r>
              <w:rPr>
                <w:rFonts w:hint="eastAsia" w:ascii="宋体" w:hAnsi="宋体"/>
                <w:szCs w:val="21"/>
              </w:rPr>
              <w:t>人数≥1</w:t>
            </w:r>
            <w:r>
              <w:rPr>
                <w:rFonts w:hint="eastAsia" w:ascii="宋体" w:hAnsi="宋体"/>
                <w:szCs w:val="21"/>
                <w:lang w:val="en-US" w:eastAsia="zh-CN"/>
              </w:rPr>
              <w:t>5</w:t>
            </w:r>
            <w:r>
              <w:rPr>
                <w:rFonts w:hint="eastAsia" w:ascii="宋体" w:hAnsi="宋体"/>
                <w:szCs w:val="21"/>
              </w:rPr>
              <w:t>人的，得</w:t>
            </w:r>
            <w:r>
              <w:rPr>
                <w:rFonts w:hint="eastAsia" w:ascii="宋体" w:hAnsi="宋体"/>
                <w:szCs w:val="21"/>
                <w:lang w:val="en-US" w:eastAsia="zh-CN"/>
              </w:rPr>
              <w:t>4.5分</w:t>
            </w:r>
            <w:r>
              <w:rPr>
                <w:rFonts w:hint="eastAsia" w:ascii="宋体" w:hAnsi="宋体"/>
                <w:szCs w:val="21"/>
              </w:rPr>
              <w:t>（以招标文件【格式七</w:t>
            </w:r>
            <w:r>
              <w:rPr>
                <w:rFonts w:hint="eastAsia" w:ascii="宋体" w:hAnsi="宋体"/>
                <w:szCs w:val="21"/>
                <w:lang w:val="en-US" w:eastAsia="zh-CN"/>
              </w:rPr>
              <w:t xml:space="preserve"> 服务方案</w:t>
            </w:r>
            <w:r>
              <w:rPr>
                <w:rFonts w:hint="eastAsia" w:ascii="宋体" w:hAnsi="宋体"/>
                <w:szCs w:val="21"/>
              </w:rPr>
              <w:t>】</w:t>
            </w:r>
            <w:r>
              <w:rPr>
                <w:rFonts w:hint="eastAsia" w:ascii="宋体" w:hAnsi="宋体"/>
                <w:szCs w:val="21"/>
                <w:lang w:val="en-US" w:eastAsia="zh-CN"/>
              </w:rPr>
              <w:t>中附表：</w:t>
            </w:r>
            <w:r>
              <w:rPr>
                <w:rFonts w:hint="eastAsia" w:ascii="宋体" w:hAnsi="宋体"/>
                <w:szCs w:val="21"/>
              </w:rPr>
              <w:t>项目人员情况一览表为准），否则不得分；</w:t>
            </w:r>
          </w:p>
          <w:p>
            <w:pPr>
              <w:pStyle w:val="95"/>
              <w:spacing w:line="360" w:lineRule="exact"/>
              <w:ind w:firstLine="0" w:firstLineChars="0"/>
              <w:rPr>
                <w:rFonts w:ascii="宋体" w:hAnsi="宋体"/>
                <w:szCs w:val="21"/>
              </w:rPr>
            </w:pPr>
            <w:r>
              <w:rPr>
                <w:rFonts w:hint="eastAsia" w:ascii="宋体" w:hAnsi="宋体"/>
                <w:szCs w:val="21"/>
              </w:rPr>
              <w:t>（2）项目</w:t>
            </w:r>
            <w:r>
              <w:rPr>
                <w:rFonts w:hint="eastAsia" w:ascii="宋体" w:hAnsi="宋体"/>
                <w:szCs w:val="21"/>
                <w:lang w:val="en-US" w:eastAsia="zh-CN"/>
              </w:rPr>
              <w:t>团队</w:t>
            </w:r>
            <w:r>
              <w:rPr>
                <w:rFonts w:hint="eastAsia" w:ascii="宋体" w:hAnsi="宋体"/>
                <w:szCs w:val="21"/>
              </w:rPr>
              <w:t>成员中具有食品检验、质量、质量管理、化学、生物、微生物学、农学专业</w:t>
            </w:r>
            <w:r>
              <w:rPr>
                <w:rFonts w:hint="eastAsia" w:ascii="宋体" w:hAnsi="宋体"/>
                <w:szCs w:val="21"/>
                <w:lang w:val="en-US" w:eastAsia="zh-CN"/>
              </w:rPr>
              <w:t>职称的，</w:t>
            </w:r>
            <w:r>
              <w:rPr>
                <w:rFonts w:hint="eastAsia" w:ascii="宋体" w:hAnsi="宋体"/>
                <w:szCs w:val="21"/>
              </w:rPr>
              <w:t>正高级（教授级/研究员级）</w:t>
            </w:r>
            <w:r>
              <w:rPr>
                <w:rFonts w:hint="eastAsia" w:ascii="宋体" w:hAnsi="宋体"/>
                <w:szCs w:val="21"/>
                <w:lang w:val="en-US" w:eastAsia="zh-CN"/>
              </w:rPr>
              <w:t>每人得1.5分</w:t>
            </w:r>
            <w:r>
              <w:rPr>
                <w:rFonts w:hint="eastAsia" w:ascii="宋体" w:hAnsi="宋体"/>
                <w:szCs w:val="21"/>
              </w:rPr>
              <w:t>，</w:t>
            </w:r>
            <w:r>
              <w:rPr>
                <w:rFonts w:hint="eastAsia" w:ascii="宋体" w:hAnsi="宋体"/>
                <w:szCs w:val="21"/>
                <w:lang w:val="en-US" w:eastAsia="zh-CN"/>
              </w:rPr>
              <w:t>副高级</w:t>
            </w:r>
            <w:r>
              <w:rPr>
                <w:rFonts w:hint="eastAsia" w:ascii="宋体" w:hAnsi="宋体"/>
                <w:szCs w:val="21"/>
              </w:rPr>
              <w:t>（教授级/研究员级）</w:t>
            </w:r>
            <w:r>
              <w:rPr>
                <w:rFonts w:hint="eastAsia" w:ascii="宋体" w:hAnsi="宋体"/>
                <w:szCs w:val="21"/>
                <w:lang w:val="en-US" w:eastAsia="zh-CN"/>
              </w:rPr>
              <w:t>每人得0.5分，此项最高</w:t>
            </w:r>
            <w:r>
              <w:rPr>
                <w:rFonts w:hint="eastAsia" w:ascii="宋体" w:hAnsi="宋体"/>
                <w:szCs w:val="21"/>
              </w:rPr>
              <w:t>得</w:t>
            </w:r>
            <w:r>
              <w:rPr>
                <w:rFonts w:hint="eastAsia" w:ascii="宋体" w:hAnsi="宋体"/>
                <w:szCs w:val="21"/>
                <w:lang w:val="en-US" w:eastAsia="zh-CN"/>
              </w:rPr>
              <w:t>6</w:t>
            </w:r>
            <w:r>
              <w:rPr>
                <w:rFonts w:hint="eastAsia" w:ascii="宋体" w:hAnsi="宋体"/>
                <w:szCs w:val="21"/>
              </w:rPr>
              <w:t>分，否则不得分；</w:t>
            </w:r>
          </w:p>
          <w:p>
            <w:pPr>
              <w:pStyle w:val="95"/>
              <w:spacing w:line="360" w:lineRule="exact"/>
              <w:ind w:firstLine="0" w:firstLineChars="0"/>
              <w:rPr>
                <w:rFonts w:ascii="宋体" w:hAnsi="宋体"/>
                <w:szCs w:val="21"/>
              </w:rPr>
            </w:pPr>
            <w:r>
              <w:rPr>
                <w:rFonts w:hint="eastAsia" w:ascii="宋体" w:hAnsi="宋体"/>
                <w:szCs w:val="21"/>
              </w:rPr>
              <w:t>（3）</w:t>
            </w:r>
            <w:r>
              <w:rPr>
                <w:rFonts w:hint="eastAsia" w:ascii="宋体" w:hAnsi="宋体"/>
                <w:color w:val="auto"/>
                <w:szCs w:val="21"/>
              </w:rPr>
              <w:t>项目</w:t>
            </w:r>
            <w:r>
              <w:rPr>
                <w:rFonts w:hint="eastAsia" w:ascii="宋体" w:hAnsi="宋体"/>
                <w:color w:val="auto"/>
                <w:szCs w:val="21"/>
                <w:lang w:val="en-US" w:eastAsia="zh-CN"/>
              </w:rPr>
              <w:t>团队</w:t>
            </w:r>
            <w:r>
              <w:rPr>
                <w:rFonts w:hint="eastAsia" w:ascii="宋体" w:hAnsi="宋体"/>
                <w:color w:val="auto"/>
                <w:szCs w:val="21"/>
              </w:rPr>
              <w:t>成员中具有</w:t>
            </w:r>
            <w:r>
              <w:rPr>
                <w:rFonts w:hint="eastAsia" w:ascii="宋体" w:hAnsi="宋体"/>
                <w:color w:val="auto"/>
                <w:szCs w:val="21"/>
                <w:lang w:val="en-US" w:eastAsia="zh-CN"/>
              </w:rPr>
              <w:t>市级及以上</w:t>
            </w:r>
            <w:r>
              <w:rPr>
                <w:rFonts w:hint="eastAsia"/>
                <w:lang w:val="en-US" w:eastAsia="zh-CN"/>
              </w:rPr>
              <w:t>食品或者农业</w:t>
            </w:r>
            <w:r>
              <w:rPr>
                <w:rFonts w:hint="eastAsia" w:ascii="宋体" w:hAnsi="宋体"/>
                <w:color w:val="auto"/>
                <w:szCs w:val="21"/>
                <w:lang w:val="en-US" w:eastAsia="zh-CN"/>
              </w:rPr>
              <w:t>专家委员会委员的</w:t>
            </w:r>
            <w:r>
              <w:rPr>
                <w:rFonts w:hint="eastAsia" w:ascii="宋体" w:hAnsi="宋体"/>
                <w:color w:val="auto"/>
                <w:szCs w:val="21"/>
              </w:rPr>
              <w:t>，</w:t>
            </w:r>
            <w:r>
              <w:rPr>
                <w:rFonts w:hint="eastAsia" w:ascii="宋体" w:hAnsi="宋体"/>
                <w:color w:val="auto"/>
                <w:szCs w:val="21"/>
                <w:lang w:val="en-US" w:eastAsia="zh-CN"/>
              </w:rPr>
              <w:t>每人得1.5分，此项最高得4.5</w:t>
            </w:r>
            <w:r>
              <w:rPr>
                <w:rFonts w:hint="eastAsia" w:ascii="宋体" w:hAnsi="宋体"/>
                <w:color w:val="auto"/>
                <w:szCs w:val="21"/>
              </w:rPr>
              <w:t>分，否则不得分。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5"/>
              <w:spacing w:line="360" w:lineRule="exact"/>
              <w:ind w:firstLine="0" w:firstLineChars="0"/>
              <w:rPr>
                <w:rFonts w:ascii="宋体" w:hAnsi="宋体"/>
                <w:szCs w:val="21"/>
              </w:rPr>
            </w:pPr>
            <w:r>
              <w:rPr>
                <w:rFonts w:hint="eastAsia" w:ascii="宋体" w:hAnsi="宋体"/>
                <w:szCs w:val="21"/>
              </w:rPr>
              <w:t>1. 提供项目团队成员通过投标单位缴纳的载有社保部门公章的近三个月个人社保证明，如开标日前近一个月的社保证明因社保部门原因暂时无法提供，可往前顺延一个月。退休返聘人员需提供劳动合同或返聘协议；</w:t>
            </w:r>
          </w:p>
          <w:p>
            <w:pPr>
              <w:pStyle w:val="95"/>
              <w:spacing w:line="360" w:lineRule="exact"/>
              <w:ind w:firstLine="0" w:firstLineChars="0"/>
              <w:rPr>
                <w:rFonts w:hint="default" w:ascii="宋体" w:hAnsi="宋体" w:eastAsia="宋体"/>
                <w:szCs w:val="21"/>
                <w:lang w:val="en-US" w:eastAsia="zh-CN"/>
              </w:rPr>
            </w:pPr>
            <w:r>
              <w:rPr>
                <w:rFonts w:hint="eastAsia" w:ascii="宋体" w:hAnsi="宋体"/>
                <w:szCs w:val="21"/>
              </w:rPr>
              <w:t>2.提供上述职称证书</w:t>
            </w:r>
            <w:r>
              <w:rPr>
                <w:rFonts w:hint="eastAsia" w:ascii="宋体" w:hAnsi="宋体"/>
                <w:szCs w:val="21"/>
                <w:lang w:eastAsia="zh-CN"/>
              </w:rPr>
              <w:t>，</w:t>
            </w:r>
            <w:r>
              <w:rPr>
                <w:rFonts w:hint="eastAsia" w:ascii="宋体" w:hAnsi="宋体"/>
                <w:color w:val="auto"/>
                <w:szCs w:val="21"/>
                <w:lang w:val="en-US" w:eastAsia="zh-CN"/>
              </w:rPr>
              <w:t>专家委员会委员的需提供</w:t>
            </w:r>
            <w:r>
              <w:rPr>
                <w:rFonts w:hint="eastAsia" w:ascii="宋体" w:hAnsi="宋体"/>
                <w:szCs w:val="21"/>
                <w:lang w:val="en-US" w:eastAsia="zh-CN"/>
              </w:rPr>
              <w:t>专家聘书或者其他有效任职文件；</w:t>
            </w:r>
          </w:p>
          <w:p>
            <w:pPr>
              <w:pStyle w:val="95"/>
              <w:spacing w:line="360" w:lineRule="exact"/>
              <w:ind w:firstLine="0" w:firstLineChars="0"/>
              <w:rPr>
                <w:rFonts w:ascii="宋体" w:hAnsi="宋体"/>
                <w:szCs w:val="21"/>
              </w:rPr>
            </w:pPr>
            <w:r>
              <w:rPr>
                <w:rFonts w:hint="eastAsia" w:ascii="宋体" w:hAnsi="宋体"/>
                <w:szCs w:val="21"/>
                <w:lang w:val="en-US" w:eastAsia="zh-CN"/>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eastAsia="宋体" w:cs="宋体"/>
                <w:i w:val="0"/>
                <w:iCs w:val="0"/>
                <w:color w:val="auto"/>
                <w:szCs w:val="21"/>
                <w:highlight w:val="none"/>
              </w:rPr>
              <w:t>供应商资格（资质、认证）情况</w:t>
            </w:r>
          </w:p>
        </w:tc>
        <w:tc>
          <w:tcPr>
            <w:tcW w:w="709" w:type="dxa"/>
            <w:vAlign w:val="center"/>
          </w:tcPr>
          <w:p>
            <w:pPr>
              <w:spacing w:line="360" w:lineRule="exact"/>
              <w:jc w:val="center"/>
              <w:rPr>
                <w:rFonts w:hint="default" w:ascii="宋体" w:hAnsi="宋体" w:eastAsia="宋体"/>
                <w:kern w:val="0"/>
                <w:szCs w:val="21"/>
                <w:lang w:val="en-US" w:eastAsia="zh-CN"/>
              </w:rPr>
            </w:pPr>
            <w:r>
              <w:rPr>
                <w:rFonts w:hint="eastAsia" w:ascii="宋体" w:hAnsi="宋体" w:cs="宋体"/>
                <w:szCs w:val="21"/>
                <w:lang w:val="en-US" w:eastAsia="zh-CN"/>
              </w:rPr>
              <w:t>10</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hint="default" w:ascii="宋体" w:hAnsi="宋体" w:eastAsia="宋体"/>
                <w:kern w:val="0"/>
                <w:szCs w:val="21"/>
                <w:lang w:val="en-US" w:eastAsia="zh-CN"/>
              </w:rPr>
            </w:pPr>
            <w:r>
              <w:rPr>
                <w:rFonts w:hint="eastAsia" w:ascii="宋体" w:hAnsi="宋体"/>
                <w:kern w:val="0"/>
                <w:szCs w:val="21"/>
                <w:lang w:eastAsia="zh-CN"/>
              </w:rPr>
              <w:t>（</w:t>
            </w:r>
            <w:r>
              <w:rPr>
                <w:rFonts w:hint="eastAsia" w:ascii="宋体" w:hAnsi="宋体"/>
                <w:kern w:val="0"/>
                <w:szCs w:val="21"/>
                <w:lang w:val="en-US" w:eastAsia="zh-CN"/>
              </w:rPr>
              <w:t>1</w:t>
            </w:r>
            <w:r>
              <w:rPr>
                <w:rFonts w:hint="eastAsia" w:ascii="宋体" w:hAnsi="宋体"/>
                <w:kern w:val="0"/>
                <w:szCs w:val="21"/>
                <w:lang w:eastAsia="zh-CN"/>
              </w:rPr>
              <w:t>）</w:t>
            </w:r>
            <w:r>
              <w:rPr>
                <w:rFonts w:hint="eastAsia" w:ascii="宋体" w:hAnsi="宋体"/>
                <w:kern w:val="0"/>
                <w:szCs w:val="21"/>
              </w:rPr>
              <w:t>投标人</w:t>
            </w:r>
            <w:r>
              <w:rPr>
                <w:rFonts w:hint="eastAsia" w:ascii="宋体" w:hAnsi="宋体"/>
                <w:kern w:val="0"/>
                <w:szCs w:val="21"/>
                <w:lang w:val="en-US" w:eastAsia="zh-CN"/>
              </w:rPr>
              <w:t>具有</w:t>
            </w:r>
            <w:r>
              <w:rPr>
                <w:rFonts w:hint="eastAsia" w:ascii="宋体" w:hAnsi="宋体"/>
                <w:bCs/>
                <w:szCs w:val="21"/>
              </w:rPr>
              <w:t>ISO9001</w:t>
            </w:r>
            <w:r>
              <w:rPr>
                <w:rFonts w:hint="eastAsia" w:ascii="宋体" w:hAnsi="宋体"/>
                <w:kern w:val="0"/>
                <w:szCs w:val="21"/>
              </w:rPr>
              <w:t>质量管理体系认证证书</w:t>
            </w:r>
            <w:r>
              <w:rPr>
                <w:rFonts w:hint="eastAsia" w:ascii="宋体" w:hAnsi="宋体"/>
                <w:kern w:val="0"/>
                <w:szCs w:val="21"/>
                <w:lang w:val="en-US" w:eastAsia="zh-CN"/>
              </w:rPr>
              <w:t>的，得5分；</w:t>
            </w:r>
          </w:p>
          <w:p>
            <w:pPr>
              <w:autoSpaceDE w:val="0"/>
              <w:autoSpaceDN w:val="0"/>
              <w:adjustRightInd w:val="0"/>
              <w:spacing w:line="360" w:lineRule="exact"/>
              <w:jc w:val="left"/>
              <w:rPr>
                <w:rFonts w:hint="eastAsia" w:ascii="宋体" w:hAnsi="宋体" w:eastAsia="宋体"/>
                <w:kern w:val="0"/>
                <w:szCs w:val="21"/>
                <w:lang w:eastAsia="zh-CN"/>
              </w:rPr>
            </w:pPr>
            <w:r>
              <w:rPr>
                <w:rFonts w:hint="eastAsia" w:ascii="宋体" w:hAnsi="宋体"/>
                <w:kern w:val="0"/>
                <w:szCs w:val="21"/>
                <w:lang w:eastAsia="zh-CN"/>
              </w:rPr>
              <w:t>（</w:t>
            </w:r>
            <w:r>
              <w:rPr>
                <w:rFonts w:hint="eastAsia" w:ascii="宋体" w:hAnsi="宋体"/>
                <w:kern w:val="0"/>
                <w:szCs w:val="21"/>
                <w:lang w:val="en-US" w:eastAsia="zh-CN"/>
              </w:rPr>
              <w:t>2</w:t>
            </w:r>
            <w:r>
              <w:rPr>
                <w:rFonts w:hint="eastAsia" w:ascii="宋体" w:hAnsi="宋体"/>
                <w:kern w:val="0"/>
                <w:szCs w:val="21"/>
                <w:lang w:eastAsia="zh-CN"/>
              </w:rPr>
              <w:t>）</w:t>
            </w:r>
            <w:r>
              <w:rPr>
                <w:rFonts w:hint="eastAsia" w:ascii="宋体" w:hAnsi="宋体"/>
                <w:kern w:val="0"/>
                <w:szCs w:val="21"/>
              </w:rPr>
              <w:t>投标人</w:t>
            </w:r>
            <w:r>
              <w:rPr>
                <w:rFonts w:hint="eastAsia" w:ascii="宋体" w:hAnsi="宋体"/>
                <w:kern w:val="0"/>
                <w:szCs w:val="21"/>
                <w:rtl w:val="0"/>
                <w:lang w:val="en-US" w:eastAsia="zh-CN"/>
              </w:rPr>
              <w:t>具有政府主管部门批准的公共服务平台的，得5分。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autoSpaceDE w:val="0"/>
              <w:autoSpaceDN w:val="0"/>
              <w:adjustRightInd w:val="0"/>
              <w:spacing w:line="360" w:lineRule="exact"/>
              <w:jc w:val="left"/>
              <w:rPr>
                <w:rFonts w:hint="default" w:ascii="宋体" w:hAnsi="宋体" w:eastAsia="宋体"/>
                <w:kern w:val="0"/>
                <w:szCs w:val="21"/>
                <w:lang w:val="en-US" w:eastAsia="zh-CN"/>
              </w:rPr>
            </w:pPr>
            <w:r>
              <w:rPr>
                <w:rFonts w:hint="eastAsia" w:ascii="宋体" w:hAnsi="宋体"/>
                <w:kern w:val="0"/>
                <w:szCs w:val="21"/>
                <w:lang w:val="en-US" w:eastAsia="zh-CN"/>
              </w:rPr>
              <w:t>3.提供</w:t>
            </w:r>
            <w:r>
              <w:rPr>
                <w:rFonts w:hint="eastAsia" w:ascii="宋体" w:hAnsi="宋体"/>
                <w:kern w:val="0"/>
                <w:szCs w:val="21"/>
                <w:rtl w:val="0"/>
                <w:lang w:val="en-US" w:eastAsia="zh-CN"/>
              </w:rPr>
              <w:t>政府主管部门批准的公共服务平台证书作为得分依据；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lang w:val="en-US" w:eastAsia="zh-CN"/>
              </w:rPr>
              <w:t>4</w:t>
            </w:r>
            <w:r>
              <w:rPr>
                <w:rFonts w:hint="eastAsia" w:ascii="宋体" w:hAnsi="宋体"/>
                <w:kern w:val="0"/>
                <w:szCs w:val="21"/>
              </w:rPr>
              <w:t>.</w:t>
            </w:r>
            <w:r>
              <w:rPr>
                <w:rFonts w:hint="eastAsia" w:ascii="宋体" w:hAnsi="宋体"/>
                <w:szCs w:val="21"/>
              </w:rPr>
              <w:t>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10</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hint="eastAsia" w:ascii="宋体" w:hAnsi="宋体" w:cs="宋体"/>
                <w:szCs w:val="21"/>
              </w:rPr>
            </w:pPr>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年1月1日至本项目投标截止日（以合同签订日期为准），投标人具有</w:t>
            </w:r>
            <w:r>
              <w:rPr>
                <w:rFonts w:hint="eastAsia" w:ascii="宋体" w:hAnsi="宋体"/>
                <w:color w:val="auto"/>
                <w:szCs w:val="21"/>
              </w:rPr>
              <w:t>食品安全相关项目经验且履约评价合格或者验收合格</w:t>
            </w:r>
            <w:r>
              <w:rPr>
                <w:rFonts w:hint="eastAsia" w:ascii="宋体" w:hAnsi="宋体"/>
                <w:color w:val="auto"/>
                <w:szCs w:val="21"/>
                <w:lang w:val="en-US" w:eastAsia="zh-CN"/>
              </w:rPr>
              <w:t>的</w:t>
            </w:r>
            <w:r>
              <w:rPr>
                <w:rFonts w:hint="eastAsia" w:ascii="宋体" w:hAnsi="宋体" w:cs="宋体"/>
                <w:szCs w:val="21"/>
              </w:rPr>
              <w:t>，每提供1个项目得2分,最高得10分。</w:t>
            </w:r>
          </w:p>
          <w:p>
            <w:pPr>
              <w:adjustRightInd w:val="0"/>
              <w:snapToGrid w:val="0"/>
              <w:spacing w:line="360" w:lineRule="exact"/>
              <w:rPr>
                <w:rFonts w:ascii="宋体" w:hAnsi="宋体" w:cs="宋体"/>
                <w:szCs w:val="21"/>
              </w:rPr>
            </w:pPr>
            <w:r>
              <w:rPr>
                <w:rFonts w:hint="eastAsia" w:ascii="宋体" w:hAnsi="宋体" w:cs="宋体"/>
                <w:szCs w:val="21"/>
                <w:lang w:val="en-US" w:eastAsia="zh-CN"/>
              </w:rPr>
              <w:t>注：</w:t>
            </w:r>
            <w:r>
              <w:rPr>
                <w:rFonts w:hint="eastAsia" w:ascii="宋体" w:hAnsi="宋体" w:cs="宋体"/>
                <w:szCs w:val="21"/>
              </w:rPr>
              <w:t>同一项目续签合同的不可重复得分。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w:t>
            </w:r>
            <w:r>
              <w:rPr>
                <w:rFonts w:hint="eastAsia" w:ascii="宋体" w:hAnsi="宋体"/>
                <w:szCs w:val="21"/>
              </w:rPr>
              <w:t>要求同时提供合同关键信息和项目履约评价合格或者验收合格证明文件作为得分依据；</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szCs w:val="21"/>
              </w:rPr>
            </w:pPr>
            <w:r>
              <w:rPr>
                <w:rFonts w:hint="eastAsia" w:ascii="宋体" w:hAnsi="宋体"/>
                <w:szCs w:val="21"/>
              </w:rPr>
              <w:t>3.</w:t>
            </w:r>
            <w:r>
              <w:rPr>
                <w:rFonts w:hint="eastAsia" w:ascii="宋体" w:hAnsi="宋体" w:cs="仿宋"/>
                <w:szCs w:val="21"/>
              </w:rPr>
              <w:t>提供加盖采购单位公章或业务章的</w:t>
            </w:r>
            <w:r>
              <w:rPr>
                <w:rFonts w:hint="eastAsia" w:ascii="宋体" w:hAnsi="宋体" w:cs="宋体"/>
                <w:szCs w:val="21"/>
              </w:rPr>
              <w:t>履约评价证明材料；</w:t>
            </w:r>
          </w:p>
          <w:p>
            <w:pPr>
              <w:adjustRightInd w:val="0"/>
              <w:snapToGrid w:val="0"/>
              <w:spacing w:line="360" w:lineRule="exact"/>
              <w:rPr>
                <w:rFonts w:ascii="宋体" w:hAnsi="宋体"/>
                <w:szCs w:val="21"/>
              </w:rPr>
            </w:pPr>
            <w:r>
              <w:rPr>
                <w:rFonts w:hint="eastAsia" w:ascii="宋体" w:hAnsi="宋体"/>
                <w:szCs w:val="21"/>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p>
            <w:pPr>
              <w:adjustRightInd w:val="0"/>
              <w:snapToGrid w:val="0"/>
              <w:spacing w:line="360" w:lineRule="exact"/>
              <w:rPr>
                <w:rFonts w:ascii="宋体" w:hAnsi="宋体"/>
                <w:b/>
                <w:bCs/>
                <w:kern w:val="0"/>
                <w:szCs w:val="21"/>
              </w:rPr>
            </w:pPr>
            <w:r>
              <w:rPr>
                <w:rFonts w:hint="eastAsia" w:ascii="宋体" w:hAnsi="宋体" w:cs="宋体"/>
                <w:szCs w:val="21"/>
              </w:rPr>
              <w:t>注：为便于评委评审，履约评价</w:t>
            </w:r>
            <w:r>
              <w:rPr>
                <w:rFonts w:hint="eastAsia" w:ascii="宋体" w:hAnsi="宋体" w:cs="宋体"/>
                <w:szCs w:val="21"/>
                <w:lang w:val="en-US" w:eastAsia="zh-CN"/>
              </w:rPr>
              <w:t>或验收</w:t>
            </w:r>
            <w:r>
              <w:rPr>
                <w:rFonts w:hint="eastAsia" w:ascii="宋体" w:hAnsi="宋体" w:cs="宋体"/>
                <w:szCs w:val="21"/>
              </w:rPr>
              <w:t>证明文件应附在 “同类项目业绩”证明文件后，每个项目对应一份履约评价</w:t>
            </w:r>
            <w:r>
              <w:rPr>
                <w:rFonts w:hint="eastAsia" w:ascii="宋体" w:hAnsi="宋体" w:cs="宋体"/>
                <w:szCs w:val="21"/>
                <w:lang w:val="en-US" w:eastAsia="zh-CN"/>
              </w:rPr>
              <w:t>或验收</w:t>
            </w:r>
            <w:r>
              <w:rPr>
                <w:rFonts w:hint="eastAsia" w:ascii="宋体" w:hAnsi="宋体" w:cs="宋体"/>
                <w:szCs w:val="21"/>
              </w:rPr>
              <w:t>证明。</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kern w:val="0"/>
                <w:szCs w:val="21"/>
                <w:lang w:val="zh-CN"/>
              </w:rPr>
              <w:t>获奖（荣誉）情况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201</w:t>
            </w:r>
            <w:r>
              <w:rPr>
                <w:rFonts w:hint="eastAsia" w:ascii="宋体" w:hAnsi="宋体" w:cs="宋体"/>
                <w:bCs/>
                <w:kern w:val="0"/>
                <w:szCs w:val="21"/>
                <w:lang w:val="en-US" w:eastAsia="zh-CN"/>
              </w:rPr>
              <w:t>9</w:t>
            </w:r>
            <w:r>
              <w:rPr>
                <w:rFonts w:hint="eastAsia" w:ascii="宋体" w:hAnsi="宋体" w:cs="宋体"/>
                <w:bCs/>
                <w:kern w:val="0"/>
                <w:szCs w:val="21"/>
              </w:rPr>
              <w:t>年1月1日至</w:t>
            </w:r>
            <w:r>
              <w:rPr>
                <w:rFonts w:hint="eastAsia" w:ascii="宋体" w:hAnsi="宋体" w:cs="宋体"/>
                <w:szCs w:val="21"/>
              </w:rPr>
              <w:t>本项目投标截止日</w:t>
            </w:r>
            <w:r>
              <w:rPr>
                <w:rFonts w:hint="eastAsia" w:ascii="宋体" w:hAnsi="宋体" w:cs="宋体"/>
                <w:bCs/>
                <w:kern w:val="0"/>
                <w:szCs w:val="21"/>
              </w:rPr>
              <w:t>（以证书颁发日期为准），投标人获得以下荣誉或奖项：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1）国家级奖项每个得</w:t>
            </w:r>
            <w:r>
              <w:rPr>
                <w:rFonts w:hint="eastAsia" w:ascii="宋体" w:hAnsi="宋体" w:cs="宋体"/>
                <w:bCs/>
                <w:kern w:val="0"/>
                <w:szCs w:val="21"/>
                <w:lang w:val="en-US" w:eastAsia="zh-CN"/>
              </w:rPr>
              <w:t>2.5</w:t>
            </w:r>
            <w:r>
              <w:rPr>
                <w:rFonts w:hint="eastAsia" w:ascii="宋体" w:hAnsi="宋体" w:cs="宋体"/>
                <w:bCs/>
                <w:kern w:val="0"/>
                <w:szCs w:val="21"/>
              </w:rPr>
              <w:t>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2）省级或以上奖项每个得</w:t>
            </w:r>
            <w:r>
              <w:rPr>
                <w:rFonts w:hint="eastAsia" w:ascii="宋体" w:hAnsi="宋体" w:cs="宋体"/>
                <w:bCs/>
                <w:kern w:val="0"/>
                <w:szCs w:val="21"/>
                <w:lang w:val="en-US" w:eastAsia="zh-CN"/>
              </w:rPr>
              <w:t>1.5</w:t>
            </w:r>
            <w:r>
              <w:rPr>
                <w:rFonts w:hint="eastAsia" w:ascii="宋体" w:hAnsi="宋体" w:cs="宋体"/>
                <w:bCs/>
                <w:kern w:val="0"/>
                <w:szCs w:val="21"/>
              </w:rPr>
              <w:t>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3）市级或以上奖项每个得1分；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4）其他不得分，累计最高得5分。</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1.要求提供奖项照片或获奖（荣誉）证书等证明材料作为得分依据；</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2.以上资料均要求提供复印件或扫描件（或官方网站截图）</w:t>
            </w:r>
            <w:r>
              <w:rPr>
                <w:rFonts w:hint="eastAsia" w:ascii="宋体" w:hAnsi="宋体"/>
                <w:szCs w:val="21"/>
              </w:rPr>
              <w:t>加盖投标人公章</w:t>
            </w:r>
            <w:r>
              <w:rPr>
                <w:rFonts w:hint="eastAsia" w:asciiTheme="minorEastAsia" w:hAnsiTheme="minorEastAsia" w:eastAsiaTheme="minorEastAsia"/>
                <w:szCs w:val="21"/>
              </w:rPr>
              <w:t>，原件备查。评分中出现无证明资料或专家无法凭所提供资料判断是否得分的情况，一律作不得分处理</w:t>
            </w:r>
            <w:r>
              <w:rPr>
                <w:rFonts w:hint="eastAsia" w:ascii="宋体" w:hAnsi="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lang w:val="en-US" w:eastAsia="zh-CN"/>
              </w:rPr>
              <w:t>2</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w:t>
            </w:r>
            <w:r>
              <w:rPr>
                <w:rFonts w:hint="eastAsia" w:ascii="宋体" w:hAnsi="宋体" w:cs="宋体"/>
                <w:bCs/>
                <w:kern w:val="0"/>
                <w:szCs w:val="21"/>
                <w:lang w:val="en-US" w:eastAsia="zh-CN"/>
              </w:rPr>
              <w:t>1</w:t>
            </w:r>
            <w:r>
              <w:rPr>
                <w:rFonts w:hint="eastAsia" w:ascii="宋体" w:hAnsi="宋体" w:cs="宋体"/>
                <w:bCs/>
                <w:kern w:val="0"/>
                <w:szCs w:val="21"/>
              </w:rPr>
              <w:t>分，其他情况不得分。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1.提供投标人营业执照，如为分公司的需提供分公司营业执照，如为售后服务机构的需同时提供售后服务合作合同及售后服务机构营业执照，均提供</w:t>
            </w:r>
            <w:r>
              <w:rPr>
                <w:rFonts w:hint="eastAsia" w:ascii="宋体" w:hAnsi="宋体"/>
                <w:szCs w:val="21"/>
              </w:rPr>
              <w:t>复印件或扫描件加盖投标人公章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r>
              <w:rPr>
                <w:rFonts w:hint="eastAsia" w:ascii="宋体" w:hAnsi="宋体"/>
                <w:szCs w:val="21"/>
              </w:rPr>
              <w:t>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44691394"/>
      <w:bookmarkStart w:id="11" w:name="_Toc44690430"/>
      <w:bookmarkStart w:id="12" w:name="_Toc44691162"/>
      <w:bookmarkStart w:id="13" w:name="_Toc44690703"/>
      <w:bookmarkStart w:id="14" w:name="_Toc8199"/>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26524"/>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32050"/>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p/>
    <w:p>
      <w:pPr>
        <w:pStyle w:val="3"/>
        <w:spacing w:before="0"/>
      </w:pPr>
      <w:bookmarkStart w:id="17" w:name="_Toc29023"/>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rPr>
                <w:rFonts w:hint="eastAsia" w:eastAsia="宋体"/>
                <w:lang w:eastAsia="zh-CN"/>
              </w:rPr>
            </w:pPr>
            <w:r>
              <w:rPr>
                <w:rFonts w:hint="eastAsia"/>
                <w:lang w:eastAsia="zh-CN"/>
              </w:rPr>
              <w:t>深圳市食品安全专家委员会运维服务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ascii="宋体" w:hAnsi="宋体" w:eastAsia="宋体"/>
                <w:snapToGrid w:val="0"/>
                <w:color w:val="auto"/>
                <w:sz w:val="21"/>
                <w:szCs w:val="21"/>
              </w:rPr>
              <w:t>深圳市市场监督管理局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06</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06</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8492"/>
      <w:r>
        <w:rPr>
          <w:rFonts w:hint="eastAsia"/>
        </w:rPr>
        <w:t>第六章  投标人须知</w:t>
      </w:r>
      <w:bookmarkEnd w:id="18"/>
    </w:p>
    <w:p>
      <w:pPr>
        <w:pStyle w:val="5"/>
        <w:spacing w:before="0" w:after="0"/>
      </w:pPr>
      <w:bookmarkStart w:id="19" w:name="_Toc29418"/>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8623"/>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23184"/>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27745"/>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568"/>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24780"/>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78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2977"/>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Pr>
        <w:widowControl/>
        <w:jc w:val="left"/>
      </w:pPr>
      <w:r>
        <w:br w:type="page"/>
      </w:r>
    </w:p>
    <w:p/>
    <w:p>
      <w:pPr>
        <w:pStyle w:val="3"/>
      </w:pPr>
      <w:bookmarkStart w:id="34" w:name="_Toc19045"/>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44691163"/>
      <w:bookmarkStart w:id="36" w:name="_Toc44690431"/>
      <w:bookmarkStart w:id="37" w:name="_Toc14934"/>
      <w:bookmarkStart w:id="38" w:name="_Toc44691395"/>
      <w:bookmarkStart w:id="39" w:name="_Toc44690704"/>
      <w:bookmarkStart w:id="40" w:name="_Toc11772"/>
      <w:bookmarkStart w:id="41" w:name="_Toc25194"/>
      <w:bookmarkStart w:id="42" w:name="_Toc31468"/>
      <w:bookmarkStart w:id="43" w:name="_Toc3138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6" w:name="_Toc26063"/>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5"/>
        <w:spacing w:line="400" w:lineRule="exact"/>
        <w:rPr>
          <w:rFonts w:ascii="仿宋" w:hAnsi="仿宋" w:eastAsia="仿宋"/>
        </w:rPr>
      </w:pPr>
      <w:bookmarkStart w:id="48" w:name="_Toc73613640"/>
      <w:bookmarkStart w:id="49" w:name="_Toc19379"/>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1"/>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0705"/>
      <w:bookmarkStart w:id="51" w:name="_Toc44691164"/>
      <w:bookmarkStart w:id="52" w:name="_Toc44691396"/>
      <w:bookmarkStart w:id="53" w:name="_Toc44690432"/>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4" w:name="_Toc73613641"/>
      <w:bookmarkStart w:id="55" w:name="_Toc105681727"/>
      <w:bookmarkStart w:id="56" w:name="_Toc4735"/>
      <w:r>
        <w:rPr>
          <w:rFonts w:hint="eastAsia" w:asciiTheme="minorEastAsia" w:hAnsiTheme="minorEastAsia" w:eastAsiaTheme="minorEastAsia"/>
          <w:kern w:val="0"/>
          <w:sz w:val="28"/>
          <w:szCs w:val="28"/>
        </w:rPr>
        <w:t>股东构成审查表</w:t>
      </w:r>
      <w:bookmarkEnd w:id="54"/>
      <w:bookmarkEnd w:id="55"/>
      <w:bookmarkEnd w:id="56"/>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1"/>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1165"/>
      <w:bookmarkStart w:id="59" w:name="_Toc44690433"/>
      <w:bookmarkStart w:id="60" w:name="_Toc44691397"/>
      <w:bookmarkStart w:id="61" w:name="_Toc44690706"/>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94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深圳市食品安全专家委员会运维服务</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1166"/>
      <w:bookmarkStart w:id="63" w:name="_Toc44690434"/>
      <w:bookmarkStart w:id="64" w:name="_Toc44690707"/>
      <w:bookmarkStart w:id="65" w:name="_Toc44691398"/>
      <w:r>
        <w:rPr>
          <w:rFonts w:hint="eastAsia" w:asciiTheme="minorEastAsia" w:hAnsiTheme="minorEastAsia" w:eastAsiaTheme="minorEastAsia"/>
          <w:sz w:val="24"/>
        </w:rPr>
        <w:t>格式6  报价表</w:t>
      </w:r>
      <w:bookmarkEnd w:id="62"/>
      <w:bookmarkEnd w:id="63"/>
      <w:bookmarkEnd w:id="64"/>
      <w:bookmarkEnd w:id="6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96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9"/>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0708"/>
      <w:bookmarkStart w:id="67" w:name="_Toc44690435"/>
      <w:bookmarkStart w:id="68" w:name="_Toc44691399"/>
      <w:bookmarkStart w:id="69" w:name="_Toc44691167"/>
      <w:r>
        <w:rPr>
          <w:rFonts w:hint="eastAsia" w:asciiTheme="minorEastAsia" w:hAnsiTheme="minorEastAsia" w:eastAsiaTheme="minorEastAsia"/>
          <w:sz w:val="24"/>
        </w:rPr>
        <w:t>格式7  服务方案</w:t>
      </w:r>
      <w:bookmarkEnd w:id="66"/>
      <w:bookmarkEnd w:id="67"/>
      <w:bookmarkEnd w:id="68"/>
      <w:bookmarkEnd w:id="69"/>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w:t>
      </w:r>
      <w:r>
        <w:rPr>
          <w:rFonts w:hint="eastAsia" w:ascii="宋体" w:hAnsi="宋体"/>
          <w:bCs/>
          <w:lang w:val="en-US" w:eastAsia="zh-CN"/>
        </w:rPr>
        <w:t>拟安排的项目负责人情况(仅限1人）</w:t>
      </w:r>
    </w:p>
    <w:p>
      <w:pPr>
        <w:spacing w:line="360" w:lineRule="auto"/>
        <w:ind w:left="420"/>
        <w:rPr>
          <w:rFonts w:hint="eastAsia" w:ascii="宋体" w:hAnsi="宋体" w:eastAsia="宋体"/>
          <w:bCs/>
          <w:lang w:val="en-US" w:eastAsia="zh-CN"/>
        </w:rPr>
      </w:pPr>
      <w:r>
        <w:rPr>
          <w:rFonts w:hint="eastAsia" w:ascii="宋体" w:hAnsi="宋体"/>
          <w:bCs/>
          <w:lang w:val="en-US" w:eastAsia="zh-CN"/>
        </w:rPr>
        <w:t>7、拟安排的项目团队成员（项目负责人除外）情况</w:t>
      </w:r>
    </w:p>
    <w:p>
      <w:pPr>
        <w:spacing w:line="360" w:lineRule="auto"/>
        <w:ind w:left="420"/>
        <w:rPr>
          <w:rFonts w:hint="eastAsia" w:ascii="宋体" w:hAnsi="宋体" w:eastAsia="宋体"/>
          <w:bCs/>
          <w:lang w:val="en-US" w:eastAsia="zh-CN"/>
        </w:rPr>
      </w:pPr>
      <w:r>
        <w:rPr>
          <w:rFonts w:hint="eastAsia" w:ascii="宋体" w:hAnsi="宋体"/>
          <w:bCs/>
          <w:lang w:val="en-US" w:eastAsia="zh-CN"/>
        </w:rPr>
        <w:t>8、供应商资格（资质、认证）情况</w:t>
      </w:r>
    </w:p>
    <w:p>
      <w:pPr>
        <w:spacing w:line="360" w:lineRule="auto"/>
        <w:ind w:left="420"/>
        <w:rPr>
          <w:rFonts w:hint="eastAsia" w:ascii="宋体" w:hAnsi="宋体" w:eastAsia="宋体"/>
          <w:bCs/>
          <w:lang w:val="en-US" w:eastAsia="zh-CN"/>
        </w:rPr>
      </w:pPr>
      <w:r>
        <w:rPr>
          <w:rFonts w:hint="eastAsia" w:ascii="宋体" w:hAnsi="宋体"/>
          <w:bCs/>
          <w:lang w:val="en-US" w:eastAsia="zh-CN"/>
        </w:rPr>
        <w:t>9、同类项目业绩情况</w:t>
      </w:r>
    </w:p>
    <w:p>
      <w:pPr>
        <w:spacing w:line="360" w:lineRule="auto"/>
        <w:ind w:left="420"/>
        <w:rPr>
          <w:rFonts w:hint="default" w:ascii="宋体" w:hAnsi="宋体" w:eastAsia="宋体"/>
          <w:bCs/>
          <w:lang w:val="en-US" w:eastAsia="zh-CN"/>
        </w:rPr>
      </w:pPr>
      <w:r>
        <w:rPr>
          <w:rFonts w:hint="eastAsia" w:ascii="宋体" w:hAnsi="宋体"/>
          <w:bCs/>
          <w:lang w:val="en-US" w:eastAsia="zh-CN"/>
        </w:rPr>
        <w:t>10、获奖（荣誉）情况</w:t>
      </w:r>
    </w:p>
    <w:p>
      <w:pPr>
        <w:spacing w:line="360" w:lineRule="auto"/>
        <w:ind w:left="420"/>
        <w:rPr>
          <w:rFonts w:hint="default" w:ascii="宋体" w:hAnsi="宋体" w:eastAsia="宋体"/>
          <w:bCs/>
          <w:lang w:val="en-US" w:eastAsia="zh-CN"/>
        </w:rPr>
      </w:pPr>
      <w:r>
        <w:rPr>
          <w:rFonts w:hint="eastAsia" w:ascii="宋体" w:hAnsi="宋体"/>
          <w:bCs/>
          <w:lang w:val="en-US" w:eastAsia="zh-CN"/>
        </w:rPr>
        <w:t>11、服务网点</w:t>
      </w:r>
    </w:p>
    <w:p>
      <w:pPr>
        <w:spacing w:line="360" w:lineRule="auto"/>
        <w:ind w:left="420"/>
        <w:rPr>
          <w:rFonts w:hint="default" w:ascii="宋体" w:hAnsi="宋体" w:eastAsia="宋体"/>
          <w:bCs/>
          <w:lang w:val="en-US" w:eastAsia="zh-CN"/>
        </w:rPr>
      </w:pPr>
      <w:r>
        <w:rPr>
          <w:rFonts w:hint="eastAsia" w:ascii="宋体" w:hAnsi="宋体"/>
          <w:bCs/>
          <w:lang w:val="en-US" w:eastAsia="zh-CN"/>
        </w:rPr>
        <w:t>12、诚信评审</w:t>
      </w:r>
    </w:p>
    <w:p>
      <w:pPr>
        <w:spacing w:line="360" w:lineRule="auto"/>
        <w:ind w:left="420"/>
        <w:rPr>
          <w:rFonts w:ascii="宋体" w:hAnsi="宋体"/>
          <w:bCs/>
        </w:rPr>
      </w:pPr>
      <w:r>
        <w:rPr>
          <w:rFonts w:hint="eastAsia" w:ascii="宋体" w:hAnsi="宋体"/>
          <w:bCs/>
          <w:lang w:val="en-US" w:eastAsia="zh-CN"/>
        </w:rPr>
        <w:t>13</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93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Toc44691168"/>
      <w:bookmarkStart w:id="71" w:name="_Toc44690436"/>
      <w:bookmarkStart w:id="72" w:name="_Toc44690709"/>
      <w:bookmarkStart w:id="73" w:name="_Toc44691400"/>
      <w:r>
        <w:rPr>
          <w:rFonts w:hint="eastAsia" w:asciiTheme="minorEastAsia" w:hAnsiTheme="minorEastAsia" w:eastAsiaTheme="minorEastAsia"/>
          <w:sz w:val="24"/>
        </w:rPr>
        <w:t>格式9  偏离表</w:t>
      </w:r>
      <w:bookmarkEnd w:id="70"/>
      <w:bookmarkEnd w:id="71"/>
      <w:bookmarkEnd w:id="72"/>
      <w:bookmarkEnd w:id="73"/>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4" w:name="q15"/>
      <w:bookmarkEnd w:id="74"/>
      <w:bookmarkStart w:id="75" w:name="_格式5__"/>
      <w:bookmarkEnd w:id="75"/>
      <w:bookmarkStart w:id="76" w:name="_格式4__"/>
      <w:bookmarkEnd w:id="76"/>
      <w:bookmarkStart w:id="77" w:name="_格式2__投标保证金凭证"/>
      <w:bookmarkEnd w:id="77"/>
      <w:bookmarkStart w:id="78" w:name="q17"/>
      <w:bookmarkEnd w:id="78"/>
      <w:bookmarkStart w:id="79" w:name="_格式3__"/>
      <w:bookmarkEnd w:id="79"/>
      <w:bookmarkStart w:id="80" w:name="q16"/>
      <w:bookmarkEnd w:id="80"/>
      <w:r>
        <w:rPr>
          <w:rFonts w:asciiTheme="minorEastAsia" w:hAnsiTheme="minorEastAsia" w:eastAsiaTheme="minorEastAsia"/>
          <w:sz w:val="24"/>
        </w:rPr>
        <w:tab/>
      </w:r>
      <w:bookmarkStart w:id="81" w:name="_Toc44690710"/>
      <w:bookmarkStart w:id="82" w:name="_Toc44691401"/>
      <w:bookmarkStart w:id="83" w:name="_Toc44691169"/>
      <w:bookmarkStart w:id="84" w:name="_Toc44690437"/>
      <w:r>
        <w:rPr>
          <w:rFonts w:hint="eastAsia" w:asciiTheme="minorEastAsia" w:hAnsiTheme="minorEastAsia" w:eastAsiaTheme="minorEastAsia"/>
          <w:sz w:val="24"/>
        </w:rPr>
        <w:t xml:space="preserve">格式10  </w:t>
      </w:r>
      <w:bookmarkEnd w:id="81"/>
      <w:bookmarkEnd w:id="82"/>
      <w:bookmarkEnd w:id="83"/>
      <w:bookmarkEnd w:id="84"/>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5" w:name="_Toc18207"/>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7"/>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7"/>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7"/>
        <w:snapToGrid w:val="0"/>
        <w:spacing w:line="360" w:lineRule="auto"/>
        <w:ind w:firstLine="422" w:firstLineChars="200"/>
        <w:rPr>
          <w:rFonts w:hAnsi="宋体"/>
          <w:b/>
          <w:szCs w:val="21"/>
        </w:rPr>
      </w:pPr>
      <w:r>
        <w:rPr>
          <w:rFonts w:hint="eastAsia" w:hAnsi="宋体"/>
          <w:b/>
          <w:szCs w:val="21"/>
        </w:rPr>
        <w:t>二、合同金额</w:t>
      </w:r>
    </w:p>
    <w:p>
      <w:pPr>
        <w:pStyle w:val="27"/>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7"/>
        <w:snapToGrid w:val="0"/>
        <w:spacing w:line="360" w:lineRule="auto"/>
        <w:ind w:firstLine="422" w:firstLineChars="200"/>
        <w:rPr>
          <w:rFonts w:hAnsi="宋体"/>
          <w:b/>
          <w:szCs w:val="21"/>
        </w:rPr>
      </w:pPr>
      <w:r>
        <w:rPr>
          <w:rFonts w:hint="eastAsia" w:hAnsi="宋体"/>
          <w:b/>
          <w:szCs w:val="21"/>
        </w:rPr>
        <w:t>三、技术资料</w:t>
      </w:r>
    </w:p>
    <w:p>
      <w:pPr>
        <w:pStyle w:val="27"/>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7"/>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7"/>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7"/>
        <w:snapToGrid w:val="0"/>
        <w:spacing w:line="360" w:lineRule="auto"/>
        <w:ind w:firstLine="422" w:firstLineChars="200"/>
        <w:rPr>
          <w:rFonts w:hAnsi="宋体"/>
          <w:b/>
          <w:szCs w:val="21"/>
        </w:rPr>
      </w:pPr>
      <w:r>
        <w:rPr>
          <w:rFonts w:hint="eastAsia" w:hAnsi="宋体"/>
          <w:b/>
          <w:szCs w:val="21"/>
        </w:rPr>
        <w:t>四、知识产权</w:t>
      </w:r>
    </w:p>
    <w:p>
      <w:pPr>
        <w:pStyle w:val="27"/>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7"/>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7"/>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7"/>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7"/>
        <w:snapToGrid w:val="0"/>
        <w:spacing w:line="360" w:lineRule="auto"/>
        <w:ind w:firstLine="422" w:firstLineChars="200"/>
        <w:rPr>
          <w:rFonts w:hAnsi="宋体"/>
          <w:b/>
          <w:szCs w:val="21"/>
        </w:rPr>
      </w:pPr>
      <w:r>
        <w:rPr>
          <w:rFonts w:hint="eastAsia" w:hAnsi="宋体"/>
          <w:b/>
          <w:szCs w:val="21"/>
        </w:rPr>
        <w:t>十、付款方式和税费</w:t>
      </w:r>
    </w:p>
    <w:p>
      <w:pPr>
        <w:pStyle w:val="27"/>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7"/>
        <w:snapToGrid w:val="0"/>
        <w:spacing w:line="360" w:lineRule="auto"/>
        <w:ind w:firstLine="422" w:firstLineChars="200"/>
        <w:rPr>
          <w:rFonts w:hAnsi="宋体"/>
          <w:b/>
          <w:szCs w:val="21"/>
        </w:rPr>
      </w:pPr>
      <w:r>
        <w:rPr>
          <w:rFonts w:hint="eastAsia" w:hAnsi="宋体"/>
          <w:b/>
          <w:szCs w:val="21"/>
        </w:rPr>
        <w:t>十二、违约责任</w:t>
      </w:r>
    </w:p>
    <w:p>
      <w:pPr>
        <w:pStyle w:val="27"/>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73610161"/>
      <w:bookmarkStart w:id="87" w:name="_Toc30441"/>
      <w:r>
        <w:rPr>
          <w:rFonts w:hint="eastAsia"/>
        </w:rPr>
        <w:t>第九章  附件</w:t>
      </w:r>
      <w:bookmarkEnd w:id="86"/>
      <w:bookmarkEnd w:id="87"/>
    </w:p>
    <w:p>
      <w:pPr>
        <w:pStyle w:val="4"/>
        <w:spacing w:before="0" w:after="0"/>
        <w:jc w:val="center"/>
      </w:pPr>
      <w:bookmarkStart w:id="88" w:name="_Toc73610162"/>
      <w:bookmarkStart w:id="89" w:name="_Toc1152"/>
      <w:r>
        <w:rPr>
          <w:rFonts w:hint="eastAsia"/>
        </w:rPr>
        <w:t>一、财政部 工业和信息化部关于印发《政府采购促进中小企业发展管理办法》的通知</w:t>
      </w:r>
      <w:bookmarkEnd w:id="88"/>
      <w:bookmarkEnd w:id="89"/>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90" w:name="_Toc73610163"/>
      <w:bookmarkStart w:id="91" w:name="_Toc13066"/>
      <w:r>
        <w:rPr>
          <w:rFonts w:hint="eastAsia"/>
        </w:rPr>
        <w:t>二、关于印发中小企业划型标准规定的通知</w:t>
      </w:r>
      <w:bookmarkEnd w:id="90"/>
      <w:bookmarkEnd w:id="91"/>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92" w:name="_Toc73610164"/>
      <w:bookmarkStart w:id="93" w:name="_Toc22256"/>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2"/>
      <w:r>
        <w:rPr>
          <w:rFonts w:asciiTheme="minorEastAsia" w:hAnsiTheme="minorEastAsia" w:eastAsiaTheme="minorEastAsia"/>
          <w:bCs w:val="0"/>
        </w:rPr>
        <w:t> </w:t>
      </w:r>
      <w:bookmarkEnd w:id="93"/>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4" w:name="_Toc73610165"/>
      <w:bookmarkStart w:id="95" w:name="_Toc31840"/>
      <w:r>
        <w:rPr>
          <w:rFonts w:hint="eastAsia"/>
        </w:rPr>
        <w:t>四、</w:t>
      </w:r>
      <w:r>
        <w:t>财政部 民政部 中国残疾人联合会关于促进残疾人就业 政府采购政策的通知</w:t>
      </w:r>
      <w:bookmarkEnd w:id="94"/>
      <w:bookmarkEnd w:id="95"/>
      <w:r>
        <w:t xml:space="preserve"> </w:t>
      </w:r>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15</w:t>
    </w:r>
    <w:r>
      <w:rPr>
        <w:rStyle w:val="55"/>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pPr>
    <w:r>
      <w:tab/>
    </w:r>
    <w:r>
      <w:rPr>
        <w:rFonts w:hint="eastAsia"/>
      </w:rPr>
      <w:t>项目名称：</w:t>
    </w:r>
    <w:r>
      <w:rPr>
        <w:rFonts w:hint="eastAsia" w:asciiTheme="minorEastAsia" w:hAnsiTheme="minorEastAsia" w:eastAsiaTheme="minorEastAsia"/>
        <w:lang w:eastAsia="zh-CN"/>
      </w:rPr>
      <w:t>深圳市食品安全专家委员会运维服务</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SZZZ2022-QC0202</w:t>
    </w:r>
    <w:r>
      <w:tab/>
    </w:r>
  </w:p>
  <w:p>
    <w:pPr>
      <w:pStyle w:val="33"/>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85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89"/>
    <w:rsid w:val="00A13AA8"/>
    <w:rsid w:val="00A13FE3"/>
    <w:rsid w:val="00A14158"/>
    <w:rsid w:val="00A14256"/>
    <w:rsid w:val="00A146AA"/>
    <w:rsid w:val="00A14BAC"/>
    <w:rsid w:val="00A14D5C"/>
    <w:rsid w:val="00A154F9"/>
    <w:rsid w:val="00A158CC"/>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A83"/>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168"/>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4BD38C2"/>
    <w:rsid w:val="05C87DB9"/>
    <w:rsid w:val="0961739E"/>
    <w:rsid w:val="098E6083"/>
    <w:rsid w:val="0B205B2B"/>
    <w:rsid w:val="0B782559"/>
    <w:rsid w:val="0D566BC9"/>
    <w:rsid w:val="0DE3274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014344D"/>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0B7ABE"/>
    <w:rsid w:val="2BD0253B"/>
    <w:rsid w:val="2C444480"/>
    <w:rsid w:val="2C564DC3"/>
    <w:rsid w:val="2D6C141D"/>
    <w:rsid w:val="2EB64B4B"/>
    <w:rsid w:val="2EDB590A"/>
    <w:rsid w:val="2F0A29E3"/>
    <w:rsid w:val="30817D6A"/>
    <w:rsid w:val="3157114E"/>
    <w:rsid w:val="31F2037F"/>
    <w:rsid w:val="329B11F6"/>
    <w:rsid w:val="336E087E"/>
    <w:rsid w:val="33C3087D"/>
    <w:rsid w:val="35961B12"/>
    <w:rsid w:val="362441E4"/>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2C3B2F"/>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9E5050C"/>
    <w:rsid w:val="5AED2A9C"/>
    <w:rsid w:val="5BC746C9"/>
    <w:rsid w:val="5CC61F72"/>
    <w:rsid w:val="5CF206F7"/>
    <w:rsid w:val="5EA0340D"/>
    <w:rsid w:val="5ED66C3C"/>
    <w:rsid w:val="5FDD643B"/>
    <w:rsid w:val="60BA3E42"/>
    <w:rsid w:val="6194383B"/>
    <w:rsid w:val="61CB5375"/>
    <w:rsid w:val="61FC0902"/>
    <w:rsid w:val="623348CA"/>
    <w:rsid w:val="65CA685B"/>
    <w:rsid w:val="65CF34A7"/>
    <w:rsid w:val="65F660EF"/>
    <w:rsid w:val="6673798C"/>
    <w:rsid w:val="66FB6518"/>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AD15A93"/>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5"/>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7"/>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sz w:val="24"/>
    </w:rPr>
  </w:style>
  <w:style w:type="paragraph" w:styleId="8">
    <w:name w:val="Normal Indent"/>
    <w:basedOn w:val="1"/>
    <w:link w:val="64"/>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8"/>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4"/>
    <w:qFormat/>
    <w:uiPriority w:val="0"/>
    <w:pPr>
      <w:shd w:val="clear" w:color="auto" w:fill="000080"/>
    </w:pPr>
  </w:style>
  <w:style w:type="paragraph" w:styleId="19">
    <w:name w:val="annotation text"/>
    <w:basedOn w:val="1"/>
    <w:link w:val="70"/>
    <w:qFormat/>
    <w:uiPriority w:val="99"/>
    <w:pPr>
      <w:jc w:val="left"/>
    </w:pPr>
  </w:style>
  <w:style w:type="paragraph" w:styleId="20">
    <w:name w:val="Body Text 3"/>
    <w:basedOn w:val="1"/>
    <w:link w:val="459"/>
    <w:unhideWhenUsed/>
    <w:qFormat/>
    <w:uiPriority w:val="0"/>
    <w:pPr>
      <w:spacing w:after="120"/>
    </w:pPr>
    <w:rPr>
      <w:sz w:val="16"/>
      <w:szCs w:val="16"/>
    </w:rPr>
  </w:style>
  <w:style w:type="paragraph" w:styleId="21">
    <w:name w:val="Body Text"/>
    <w:basedOn w:val="1"/>
    <w:link w:val="72"/>
    <w:qFormat/>
    <w:uiPriority w:val="0"/>
    <w:pPr>
      <w:spacing w:after="120"/>
    </w:pPr>
  </w:style>
  <w:style w:type="paragraph" w:styleId="22">
    <w:name w:val="Body Text Indent"/>
    <w:basedOn w:val="1"/>
    <w:link w:val="75"/>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82"/>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9"/>
    <w:next w:val="19"/>
    <w:link w:val="71"/>
    <w:qFormat/>
    <w:uiPriority w:val="0"/>
    <w:rPr>
      <w:b/>
      <w:bCs/>
    </w:rPr>
  </w:style>
  <w:style w:type="paragraph" w:styleId="49">
    <w:name w:val="Body Text First Indent"/>
    <w:basedOn w:val="21"/>
    <w:link w:val="73"/>
    <w:qFormat/>
    <w:uiPriority w:val="0"/>
    <w:pPr>
      <w:ind w:firstLine="420" w:firstLineChars="100"/>
    </w:pPr>
  </w:style>
  <w:style w:type="paragraph" w:styleId="50">
    <w:name w:val="Body Text First Indent 2"/>
    <w:basedOn w:val="22"/>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5"/>
    <w:qFormat/>
    <w:uiPriority w:val="0"/>
    <w:rPr>
      <w:rFonts w:ascii="Arial" w:hAnsi="Arial" w:eastAsiaTheme="minorEastAsia"/>
      <w:b/>
      <w:bCs/>
      <w:kern w:val="2"/>
      <w:sz w:val="28"/>
      <w:szCs w:val="32"/>
    </w:rPr>
  </w:style>
  <w:style w:type="character" w:customStyle="1" w:styleId="63">
    <w:name w:val="标题 4 Char1"/>
    <w:basedOn w:val="53"/>
    <w:link w:val="6"/>
    <w:qFormat/>
    <w:uiPriority w:val="99"/>
    <w:rPr>
      <w:rFonts w:ascii="Arial" w:hAnsi="Arial" w:eastAsia="黑体"/>
      <w:b/>
      <w:bCs/>
      <w:kern w:val="2"/>
      <w:sz w:val="28"/>
      <w:szCs w:val="28"/>
    </w:rPr>
  </w:style>
  <w:style w:type="character" w:customStyle="1" w:styleId="64">
    <w:name w:val="正文缩进 Char"/>
    <w:link w:val="8"/>
    <w:qFormat/>
    <w:uiPriority w:val="0"/>
    <w:rPr>
      <w:rFonts w:eastAsia="宋体"/>
      <w:kern w:val="2"/>
      <w:sz w:val="21"/>
      <w:szCs w:val="24"/>
      <w:lang w:val="en-US" w:eastAsia="zh-CN" w:bidi="ar-SA"/>
    </w:rPr>
  </w:style>
  <w:style w:type="character" w:customStyle="1" w:styleId="65">
    <w:name w:val="标题 5 Char1"/>
    <w:basedOn w:val="53"/>
    <w:link w:val="7"/>
    <w:qFormat/>
    <w:uiPriority w:val="0"/>
    <w:rPr>
      <w:b/>
      <w:kern w:val="2"/>
      <w:sz w:val="28"/>
      <w:szCs w:val="24"/>
    </w:rPr>
  </w:style>
  <w:style w:type="character" w:customStyle="1" w:styleId="66">
    <w:name w:val="标题 6 Char1"/>
    <w:basedOn w:val="53"/>
    <w:link w:val="9"/>
    <w:qFormat/>
    <w:uiPriority w:val="9"/>
    <w:rPr>
      <w:rFonts w:ascii="Arial" w:hAnsi="Arial" w:eastAsia="黑体"/>
      <w:b/>
      <w:kern w:val="2"/>
      <w:sz w:val="24"/>
      <w:szCs w:val="24"/>
    </w:rPr>
  </w:style>
  <w:style w:type="character" w:customStyle="1" w:styleId="67">
    <w:name w:val="标题 7 Char1"/>
    <w:basedOn w:val="53"/>
    <w:link w:val="10"/>
    <w:qFormat/>
    <w:uiPriority w:val="9"/>
    <w:rPr>
      <w:b/>
      <w:kern w:val="2"/>
      <w:sz w:val="24"/>
      <w:szCs w:val="24"/>
    </w:rPr>
  </w:style>
  <w:style w:type="character" w:customStyle="1" w:styleId="68">
    <w:name w:val="标题 8 Char1"/>
    <w:basedOn w:val="53"/>
    <w:link w:val="11"/>
    <w:qFormat/>
    <w:uiPriority w:val="9"/>
    <w:rPr>
      <w:rFonts w:ascii="Arial" w:hAnsi="Arial" w:eastAsia="黑体"/>
      <w:kern w:val="2"/>
      <w:sz w:val="24"/>
      <w:szCs w:val="24"/>
    </w:rPr>
  </w:style>
  <w:style w:type="character" w:customStyle="1" w:styleId="69">
    <w:name w:val="标题 9 Char1"/>
    <w:basedOn w:val="53"/>
    <w:link w:val="12"/>
    <w:qFormat/>
    <w:uiPriority w:val="0"/>
    <w:rPr>
      <w:rFonts w:ascii="Arial" w:hAnsi="Arial" w:eastAsia="黑体"/>
      <w:kern w:val="2"/>
      <w:sz w:val="21"/>
      <w:szCs w:val="24"/>
    </w:rPr>
  </w:style>
  <w:style w:type="character" w:customStyle="1" w:styleId="70">
    <w:name w:val="批注文字 Char"/>
    <w:link w:val="19"/>
    <w:qFormat/>
    <w:uiPriority w:val="99"/>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1"/>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8"/>
    <w:qFormat/>
    <w:uiPriority w:val="0"/>
    <w:rPr>
      <w:kern w:val="2"/>
      <w:sz w:val="21"/>
      <w:szCs w:val="24"/>
      <w:shd w:val="clear" w:color="auto" w:fill="000080"/>
    </w:rPr>
  </w:style>
  <w:style w:type="character" w:customStyle="1" w:styleId="75">
    <w:name w:val="正文文本缩进 Char1"/>
    <w:basedOn w:val="53"/>
    <w:link w:val="22"/>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6"/>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20"/>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link w:val="39"/>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6">
    <w:name w:val="Ｒ07-正!!文 Char Char"/>
    <w:link w:val="507"/>
    <w:qFormat/>
    <w:uiPriority w:val="0"/>
    <w:rPr>
      <w:rFonts w:ascii="宋体" w:hAnsi="宋体" w:cs="宋体"/>
      <w:snapToGrid w:val="0"/>
      <w:spacing w:val="4"/>
      <w:kern w:val="2"/>
      <w:sz w:val="24"/>
      <w:szCs w:val="24"/>
    </w:rPr>
  </w:style>
  <w:style w:type="paragraph" w:customStyle="1" w:styleId="507">
    <w:name w:val="Ｒ07-正!!文"/>
    <w:link w:val="506"/>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qFormat/>
    <w:uiPriority w:val="0"/>
    <w:rPr>
      <w:rFonts w:ascii="宋体" w:hAnsi="宋体" w:cs="宋体"/>
      <w:snapToGrid w:val="0"/>
      <w:spacing w:val="8"/>
      <w:kern w:val="2"/>
      <w:sz w:val="24"/>
      <w:szCs w:val="24"/>
    </w:rPr>
  </w:style>
  <w:style w:type="paragraph" w:customStyle="1" w:styleId="509">
    <w:name w:val="Ｒ07-!正!"/>
    <w:link w:val="508"/>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313F6-CB87-42BE-9372-6BF21EE30862}">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69</Pages>
  <Words>41081</Words>
  <Characters>44042</Characters>
  <Lines>81</Lines>
  <Paragraphs>99</Paragraphs>
  <TotalTime>0</TotalTime>
  <ScaleCrop>false</ScaleCrop>
  <LinksUpToDate>false</LinksUpToDate>
  <CharactersWithSpaces>46930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2022-06-17T08:37:09Z</dcterms:modified>
  <dc:title>招标编号：UHO2010-G0029</dc:title>
  <cp:revision>505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C6DA7E0A3EEA4DDCB51BB28DD2B0D9D8</vt:lpwstr>
  </property>
</Properties>
</file>